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3C05B"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21D3C12A" wp14:editId="21D3C12B">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21D3C05C" w14:textId="77777777" w:rsidR="004C660B" w:rsidRPr="002A2725" w:rsidRDefault="004C660B" w:rsidP="008A2453">
      <w:pPr>
        <w:pStyle w:val="Header"/>
      </w:pPr>
      <w:r w:rsidRPr="002A2725">
        <w:t>Office of Passenger and Freight Programs</w:t>
      </w:r>
    </w:p>
    <w:p w14:paraId="21D3C05D" w14:textId="77777777" w:rsidR="00AD7E8B" w:rsidRPr="002A2725" w:rsidRDefault="00AD7E8B" w:rsidP="008A2453">
      <w:pPr>
        <w:pStyle w:val="Header"/>
      </w:pPr>
    </w:p>
    <w:p w14:paraId="21D3C05E" w14:textId="49AB612D" w:rsidR="004C660B" w:rsidRPr="002A2725" w:rsidRDefault="004C660B" w:rsidP="008A2453">
      <w:pPr>
        <w:pStyle w:val="Header"/>
      </w:pPr>
      <w:r w:rsidRPr="002A2725">
        <w:t xml:space="preserve">Monitoring Procedure </w:t>
      </w:r>
      <w:r w:rsidR="006C4893">
        <w:t>36</w:t>
      </w:r>
      <w:bookmarkStart w:id="0" w:name="_GoBack"/>
      <w:bookmarkEnd w:id="0"/>
      <w:r w:rsidRPr="002A2725">
        <w:t xml:space="preserve"> – </w:t>
      </w:r>
      <w:r w:rsidR="006C4893">
        <w:t>Buy America</w:t>
      </w:r>
    </w:p>
    <w:p w14:paraId="21D3C05F" w14:textId="77777777" w:rsidR="00DD31C5" w:rsidRDefault="00DD31C5" w:rsidP="00AD7E8B">
      <w:pPr>
        <w:pBdr>
          <w:bottom w:val="single" w:sz="4" w:space="1" w:color="auto"/>
        </w:pBdr>
      </w:pPr>
    </w:p>
    <w:p w14:paraId="21D3C060" w14:textId="77777777" w:rsidR="006C4893" w:rsidRDefault="006C4893" w:rsidP="006C4893"/>
    <w:p w14:paraId="21D3C061" w14:textId="77777777" w:rsidR="00472EC7" w:rsidRDefault="00472EC7" w:rsidP="00472EC7">
      <w:pPr>
        <w:pStyle w:val="Heading1"/>
      </w:pPr>
      <w:r>
        <w:t>PURPOSE</w:t>
      </w:r>
    </w:p>
    <w:p w14:paraId="21D3C062" w14:textId="77777777" w:rsidR="00472EC7" w:rsidRDefault="00472EC7" w:rsidP="00472EC7">
      <w:r>
        <w:t>T</w:t>
      </w:r>
      <w:r w:rsidRPr="003174B9">
        <w:t xml:space="preserve">his </w:t>
      </w:r>
      <w:r>
        <w:t xml:space="preserve">Monitoring </w:t>
      </w:r>
      <w:r w:rsidRPr="003174B9">
        <w:t>Procedure (</w:t>
      </w:r>
      <w:r>
        <w:t>M</w:t>
      </w:r>
      <w:r w:rsidRPr="003174B9">
        <w:t xml:space="preserve">P) </w:t>
      </w:r>
      <w:r w:rsidRPr="00FB205E">
        <w:t>describe</w:t>
      </w:r>
      <w:r>
        <w:t>s</w:t>
      </w:r>
      <w:r w:rsidRPr="00F81C9E">
        <w:t xml:space="preserve"> </w:t>
      </w:r>
      <w:r>
        <w:t xml:space="preserve">FRA requirements for the </w:t>
      </w:r>
      <w:r w:rsidRPr="00FB205E">
        <w:t>Monitoring and Technical Assistance Contractor (MTAC)</w:t>
      </w:r>
      <w:r>
        <w:t xml:space="preserve"> when</w:t>
      </w:r>
      <w:r w:rsidRPr="00F81C9E">
        <w:t xml:space="preserve"> </w:t>
      </w:r>
      <w:r>
        <w:t>evaluating</w:t>
      </w:r>
      <w:r w:rsidRPr="00F81C9E">
        <w:t xml:space="preserve"> the Grantee’s </w:t>
      </w:r>
      <w:r>
        <w:t>compliance with Buy America.</w:t>
      </w:r>
      <w:r w:rsidRPr="00F81C9E">
        <w:t xml:space="preserve"> </w:t>
      </w:r>
      <w:r>
        <w:t xml:space="preserve">  </w:t>
      </w:r>
    </w:p>
    <w:p w14:paraId="21D3C063" w14:textId="77777777" w:rsidR="00472EC7" w:rsidRDefault="00472EC7" w:rsidP="00472EC7">
      <w:pPr>
        <w:pStyle w:val="Heading1"/>
      </w:pPr>
      <w:r>
        <w:t>KEY PRINCIPLES</w:t>
      </w:r>
    </w:p>
    <w:p w14:paraId="752B7BCB" w14:textId="77777777" w:rsidR="006B60CA" w:rsidRDefault="00472EC7" w:rsidP="00472EC7">
      <w:r>
        <w:t xml:space="preserve">FRA’s rail program includes a goal to increase the use of domestic resources in FRA-funded rail projects. The Buy America requirement reinforces this goal and helps to grow domestic </w:t>
      </w:r>
      <w:r w:rsidR="006B60CA">
        <w:t xml:space="preserve">manufacturing of materials and products used in </w:t>
      </w:r>
      <w:r>
        <w:t>rail</w:t>
      </w:r>
      <w:r w:rsidR="006B60CA">
        <w:t xml:space="preserve">road projects. </w:t>
      </w:r>
      <w:r>
        <w:t xml:space="preserve"> </w:t>
      </w:r>
    </w:p>
    <w:p w14:paraId="47A98699" w14:textId="77777777" w:rsidR="006B60CA" w:rsidRDefault="006B60CA" w:rsidP="00472EC7"/>
    <w:p w14:paraId="21D3C064" w14:textId="4D9D6550" w:rsidR="00472EC7" w:rsidRDefault="00472EC7" w:rsidP="00472EC7">
      <w:r>
        <w:t>FRA e</w:t>
      </w:r>
      <w:r w:rsidRPr="00F03ABA">
        <w:t>ncourage</w:t>
      </w:r>
      <w:r>
        <w:t>s</w:t>
      </w:r>
      <w:r w:rsidRPr="00F03ABA">
        <w:t xml:space="preserve"> domestic</w:t>
      </w:r>
      <w:r>
        <w:t xml:space="preserve"> sourcing of all materials used</w:t>
      </w:r>
      <w:r w:rsidRPr="00F03ABA">
        <w:t xml:space="preserve"> regardless of the statutory requirements</w:t>
      </w:r>
      <w:r w:rsidR="00523D93">
        <w:t xml:space="preserve"> </w:t>
      </w:r>
      <w:r w:rsidRPr="00F03ABA">
        <w:t>attach</w:t>
      </w:r>
      <w:r>
        <w:t>ed</w:t>
      </w:r>
      <w:r w:rsidRPr="00F03ABA">
        <w:t xml:space="preserve"> to </w:t>
      </w:r>
      <w:r>
        <w:t xml:space="preserve">a particular </w:t>
      </w:r>
      <w:r w:rsidRPr="00F03ABA">
        <w:t>grant.</w:t>
      </w:r>
      <w:r w:rsidR="006B60CA">
        <w:t xml:space="preserve">  </w:t>
      </w:r>
    </w:p>
    <w:p w14:paraId="21D3C065" w14:textId="77777777" w:rsidR="00472EC7" w:rsidRDefault="00472EC7" w:rsidP="006C4893"/>
    <w:p w14:paraId="20C26A6E" w14:textId="1F2D87D7" w:rsidR="005264DE" w:rsidRPr="005264DE" w:rsidRDefault="00472EC7" w:rsidP="005264DE">
      <w:pPr>
        <w:pStyle w:val="hsr1"/>
      </w:pPr>
      <w:r>
        <w:t xml:space="preserve">Projects </w:t>
      </w:r>
      <w:r w:rsidR="005264DE">
        <w:t xml:space="preserve">authorized </w:t>
      </w:r>
      <w:r>
        <w:t xml:space="preserve">under the Passenger Rail Investment and Improvement Act of 2008 (PRIIA) </w:t>
      </w:r>
      <w:r w:rsidR="005264DE">
        <w:t xml:space="preserve">and funded by ARRA or FY 2010 appropriations </w:t>
      </w:r>
      <w:r>
        <w:t>are subject to the Buy America provision of 49 USC § 24405(a)</w:t>
      </w:r>
      <w:r w:rsidR="00FA528C">
        <w:t xml:space="preserve"> - (Intercity Passenger Rail Service Corridor Capital Assistance, Grant conditions).</w:t>
      </w:r>
      <w:r w:rsidR="005264DE">
        <w:t xml:space="preserve">  </w:t>
      </w:r>
      <w:r w:rsidR="005264DE" w:rsidRPr="005264DE">
        <w:t>49 USC §24405(a) is also often applied through the grant agreement to many Tiger grants.</w:t>
      </w:r>
    </w:p>
    <w:p w14:paraId="2C7A3F0A" w14:textId="77777777" w:rsidR="005264DE" w:rsidRPr="005264DE" w:rsidRDefault="005264DE" w:rsidP="005264DE">
      <w:pPr>
        <w:pStyle w:val="hsr1"/>
      </w:pPr>
      <w:r w:rsidRPr="005264DE">
        <w:t>Amtrak projects are required to adhere to a Domestic Buying Preference through 49 USC § 24305(f) (Amtrak General Authority) or 49 USC § 24405(a), depending upon whether Amtrak is funding the project through its own capital or operating grants/funds or is acting as a contractor/</w:t>
      </w:r>
      <w:proofErr w:type="spellStart"/>
      <w:r w:rsidRPr="005264DE">
        <w:t>subgrantee</w:t>
      </w:r>
      <w:proofErr w:type="spellEnd"/>
      <w:r w:rsidRPr="005264DE">
        <w:t xml:space="preserve"> under another grant. </w:t>
      </w:r>
    </w:p>
    <w:p w14:paraId="63E2CC24" w14:textId="77777777" w:rsidR="005264DE" w:rsidRDefault="00472EC7" w:rsidP="006C4893">
      <w:pPr>
        <w:pStyle w:val="hsr1"/>
      </w:pPr>
      <w:r>
        <w:t>T</w:t>
      </w:r>
      <w:r w:rsidRPr="00F03ABA">
        <w:t>he Buy American Act of 1933</w:t>
      </w:r>
      <w:r>
        <w:t xml:space="preserve"> in </w:t>
      </w:r>
      <w:r w:rsidR="006C4893">
        <w:t>41 U.S.C. § 8302</w:t>
      </w:r>
      <w:r>
        <w:t xml:space="preserve"> also requires </w:t>
      </w:r>
      <w:r w:rsidRPr="009B67CC">
        <w:t>domestic sourc</w:t>
      </w:r>
      <w:r>
        <w:t xml:space="preserve">ing of materials </w:t>
      </w:r>
      <w:r w:rsidRPr="009B67CC">
        <w:t>and manufactured goods</w:t>
      </w:r>
      <w:r w:rsidR="005264DE">
        <w:t xml:space="preserve"> and typically applies to Rail Line Relocation Grants</w:t>
      </w:r>
      <w:r>
        <w:t>.</w:t>
      </w:r>
    </w:p>
    <w:p w14:paraId="3A507CE9" w14:textId="77777777" w:rsidR="005264DE" w:rsidRDefault="005264DE" w:rsidP="005264DE">
      <w:pPr>
        <w:pStyle w:val="hsr1"/>
        <w:numPr>
          <w:ilvl w:val="0"/>
          <w:numId w:val="0"/>
        </w:numPr>
      </w:pPr>
    </w:p>
    <w:p w14:paraId="21D3C068" w14:textId="4B12996F" w:rsidR="00472EC7" w:rsidRDefault="005264DE" w:rsidP="005264DE">
      <w:pPr>
        <w:pStyle w:val="hsr1"/>
        <w:numPr>
          <w:ilvl w:val="0"/>
          <w:numId w:val="0"/>
        </w:numPr>
      </w:pPr>
      <w:r>
        <w:t xml:space="preserve">The requirement that should be applied to the particular project would be found in the applicable grant agreement and should be carried forward into any </w:t>
      </w:r>
      <w:proofErr w:type="spellStart"/>
      <w:r>
        <w:t>subgrants</w:t>
      </w:r>
      <w:proofErr w:type="spellEnd"/>
      <w:r>
        <w:t xml:space="preserve"> or contracts/subcontracts funded by the grant.</w:t>
      </w:r>
      <w:r w:rsidR="00472EC7">
        <w:t xml:space="preserve">  </w:t>
      </w:r>
    </w:p>
    <w:p w14:paraId="21D3C069" w14:textId="77777777" w:rsidR="00472EC7" w:rsidRDefault="00472EC7" w:rsidP="00472EC7">
      <w:pPr>
        <w:pStyle w:val="Heading1"/>
      </w:pPr>
      <w:r>
        <w:t>REQUIRED DOCUMENTS</w:t>
      </w:r>
    </w:p>
    <w:p w14:paraId="21D3C06A" w14:textId="65465164" w:rsidR="00472EC7" w:rsidRDefault="0030511D" w:rsidP="00472EC7">
      <w:r>
        <w:t xml:space="preserve">The MTAC will obtain </w:t>
      </w:r>
      <w:r w:rsidR="005264DE">
        <w:t>and review</w:t>
      </w:r>
      <w:r w:rsidR="00472EC7">
        <w:t xml:space="preserve"> t</w:t>
      </w:r>
      <w:r w:rsidR="00472EC7" w:rsidRPr="009B67CC">
        <w:t xml:space="preserve">he following </w:t>
      </w:r>
      <w:r w:rsidR="00472EC7">
        <w:t xml:space="preserve">project </w:t>
      </w:r>
      <w:r w:rsidR="00472EC7" w:rsidRPr="009B67CC">
        <w:t>documents from the Grantee:</w:t>
      </w:r>
    </w:p>
    <w:p w14:paraId="21D3C06C" w14:textId="4A33B30B" w:rsidR="00472EC7" w:rsidRDefault="00472EC7" w:rsidP="006747B7">
      <w:pPr>
        <w:pStyle w:val="Bullet"/>
      </w:pPr>
      <w:r>
        <w:t>Grantee’s grant agreement with FRA</w:t>
      </w:r>
    </w:p>
    <w:p w14:paraId="21D3C06D" w14:textId="656C1089" w:rsidR="00472EC7" w:rsidRDefault="00472EC7" w:rsidP="006747B7">
      <w:pPr>
        <w:pStyle w:val="Bullet"/>
      </w:pPr>
      <w:r>
        <w:t>Design standards and criteria</w:t>
      </w:r>
    </w:p>
    <w:p w14:paraId="21D3C06E" w14:textId="7DC344A3" w:rsidR="00472EC7" w:rsidRDefault="00472EC7" w:rsidP="006747B7">
      <w:pPr>
        <w:pStyle w:val="Bullet"/>
      </w:pPr>
      <w:r>
        <w:t>D</w:t>
      </w:r>
      <w:r w:rsidR="0030511D">
        <w:t>esign and construction drawings,</w:t>
      </w:r>
      <w:r>
        <w:t xml:space="preserve"> outline</w:t>
      </w:r>
      <w:r w:rsidR="0030511D">
        <w:t>,</w:t>
      </w:r>
      <w:r>
        <w:t xml:space="preserve"> and final specifications</w:t>
      </w:r>
    </w:p>
    <w:p w14:paraId="21D3C06F" w14:textId="472D1E7F" w:rsidR="00472EC7" w:rsidRDefault="00472EC7" w:rsidP="006747B7">
      <w:pPr>
        <w:pStyle w:val="Bullet"/>
      </w:pPr>
      <w:r>
        <w:t>Solicitations for construction bids and other RFPs</w:t>
      </w:r>
      <w:r w:rsidR="0030511D">
        <w:t>,</w:t>
      </w:r>
      <w:r>
        <w:t xml:space="preserve"> contracts, </w:t>
      </w:r>
      <w:r w:rsidR="0030511D">
        <w:t xml:space="preserve">and </w:t>
      </w:r>
      <w:r>
        <w:t>purchase agreements</w:t>
      </w:r>
    </w:p>
    <w:p w14:paraId="21D3C070" w14:textId="28F7BC97" w:rsidR="00472EC7" w:rsidRDefault="00472EC7" w:rsidP="006747B7">
      <w:pPr>
        <w:pStyle w:val="Bullet"/>
      </w:pPr>
      <w:r>
        <w:t>Certificates of Compliance and Non-Compliance with Buy America Requirements (see Appendix A for examples)</w:t>
      </w:r>
    </w:p>
    <w:p w14:paraId="21D3C071" w14:textId="75B527EF" w:rsidR="00472EC7" w:rsidRDefault="00FF68AA" w:rsidP="006747B7">
      <w:pPr>
        <w:pStyle w:val="Bullet"/>
      </w:pPr>
      <w:r>
        <w:t xml:space="preserve">Buy America requirement waiver </w:t>
      </w:r>
      <w:r w:rsidR="00472EC7">
        <w:t>granted by FRA</w:t>
      </w:r>
      <w:r>
        <w:t>, if applicable</w:t>
      </w:r>
    </w:p>
    <w:p w14:paraId="55AD493C" w14:textId="73DF6FD1" w:rsidR="005264DE" w:rsidRDefault="005264DE" w:rsidP="006747B7">
      <w:pPr>
        <w:pStyle w:val="Bullet"/>
      </w:pPr>
      <w:r>
        <w:lastRenderedPageBreak/>
        <w:t>Rolling stock audit material and/or reports</w:t>
      </w:r>
    </w:p>
    <w:p w14:paraId="21D3C072" w14:textId="77777777" w:rsidR="00472EC7" w:rsidRDefault="00472EC7" w:rsidP="0030511D">
      <w:pPr>
        <w:pStyle w:val="Heading1"/>
        <w:keepLines w:val="0"/>
      </w:pPr>
      <w:r>
        <w:t>background</w:t>
      </w:r>
    </w:p>
    <w:p w14:paraId="21D3C073" w14:textId="412D11E5" w:rsidR="00472EC7" w:rsidRDefault="00472EC7" w:rsidP="0030511D">
      <w:r w:rsidRPr="00DB450E">
        <w:t>T</w:t>
      </w:r>
      <w:r w:rsidR="00FF68AA">
        <w:t xml:space="preserve">he following are descriptions of </w:t>
      </w:r>
      <w:r w:rsidRPr="00DB450E">
        <w:t>domestic sourcing statu</w:t>
      </w:r>
      <w:r>
        <w:t>t</w:t>
      </w:r>
      <w:r w:rsidRPr="00DB450E">
        <w:t>es</w:t>
      </w:r>
      <w:r w:rsidR="00FF68AA">
        <w:t xml:space="preserve"> that, depending on the fund source used, ap</w:t>
      </w:r>
      <w:r w:rsidRPr="00DB450E">
        <w:t>ply to procurements</w:t>
      </w:r>
      <w:r w:rsidR="00FF68AA">
        <w:t xml:space="preserve"> for FRA projects. </w:t>
      </w:r>
      <w:r w:rsidR="00F01861">
        <w:t xml:space="preserve"> Note that </w:t>
      </w:r>
      <w:r w:rsidR="00F01861" w:rsidRPr="00F01861">
        <w:t xml:space="preserve">Buy America requirements </w:t>
      </w:r>
      <w:r w:rsidR="00F01861">
        <w:t xml:space="preserve">cannot be </w:t>
      </w:r>
      <w:r w:rsidR="00F01861" w:rsidRPr="00F01861">
        <w:t>by</w:t>
      </w:r>
      <w:r w:rsidR="00F01861">
        <w:t xml:space="preserve">passed by using </w:t>
      </w:r>
      <w:r w:rsidR="00F01861" w:rsidRPr="00F01861">
        <w:t>only non-federal funds to purchase a project component/material that</w:t>
      </w:r>
      <w:r w:rsidR="00F01861">
        <w:t xml:space="preserve"> is</w:t>
      </w:r>
      <w:r w:rsidR="00F01861" w:rsidRPr="00F01861">
        <w:t xml:space="preserve"> not made in America.  If the component/material is being used as part of the FRA</w:t>
      </w:r>
      <w:r w:rsidR="00F01861">
        <w:t>-</w:t>
      </w:r>
      <w:r w:rsidR="00F01861" w:rsidRPr="00F01861">
        <w:t>funded project, it must meet the respective Buy America requirement, regardless of</w:t>
      </w:r>
      <w:r w:rsidR="00F01861">
        <w:t xml:space="preserve"> the</w:t>
      </w:r>
      <w:r w:rsidR="00F01861" w:rsidRPr="00F01861">
        <w:t xml:space="preserve"> funding source</w:t>
      </w:r>
      <w:r w:rsidR="00F01861">
        <w:t xml:space="preserve"> for the component/material</w:t>
      </w:r>
      <w:r w:rsidR="00F01861" w:rsidRPr="00F01861">
        <w:t>.</w:t>
      </w:r>
    </w:p>
    <w:p w14:paraId="21D3C074" w14:textId="77777777" w:rsidR="00472EC7" w:rsidRDefault="00472EC7" w:rsidP="00472EC7">
      <w:pPr>
        <w:pStyle w:val="Heading2"/>
      </w:pPr>
      <w:r>
        <w:t xml:space="preserve">49 USC § 24405(a) - </w:t>
      </w:r>
      <w:r w:rsidRPr="00DB450E">
        <w:t xml:space="preserve">PRIIA “Buy America”  </w:t>
      </w:r>
    </w:p>
    <w:p w14:paraId="21D3C075" w14:textId="1765FC43" w:rsidR="00472EC7" w:rsidRDefault="00472EC7" w:rsidP="00472EC7">
      <w:pPr>
        <w:pStyle w:val="Heading2"/>
        <w:numPr>
          <w:ilvl w:val="0"/>
          <w:numId w:val="0"/>
        </w:numPr>
        <w:rPr>
          <w:b w:val="0"/>
        </w:rPr>
      </w:pPr>
      <w:r w:rsidRPr="00F76E6A">
        <w:rPr>
          <w:rFonts w:asciiTheme="minorHAnsi" w:eastAsiaTheme="minorHAnsi" w:hAnsiTheme="minorHAnsi" w:cstheme="minorBidi"/>
          <w:b w:val="0"/>
          <w:bCs w:val="0"/>
          <w:szCs w:val="22"/>
        </w:rPr>
        <w:t xml:space="preserve">For </w:t>
      </w:r>
      <w:r w:rsidR="0030511D" w:rsidRPr="0030511D">
        <w:rPr>
          <w:rFonts w:asciiTheme="minorHAnsi" w:eastAsiaTheme="minorHAnsi" w:hAnsiTheme="minorHAnsi" w:cstheme="minorBidi"/>
          <w:b w:val="0"/>
          <w:bCs w:val="0"/>
          <w:szCs w:val="22"/>
        </w:rPr>
        <w:t xml:space="preserve">Passenger Rail Investment and Improvement Act </w:t>
      </w:r>
      <w:r w:rsidR="0030511D">
        <w:rPr>
          <w:rFonts w:asciiTheme="minorHAnsi" w:eastAsiaTheme="minorHAnsi" w:hAnsiTheme="minorHAnsi" w:cstheme="minorBidi"/>
          <w:b w:val="0"/>
          <w:bCs w:val="0"/>
          <w:szCs w:val="22"/>
        </w:rPr>
        <w:t>(</w:t>
      </w:r>
      <w:r w:rsidRPr="00111820">
        <w:rPr>
          <w:rFonts w:asciiTheme="minorHAnsi" w:eastAsiaTheme="minorHAnsi" w:hAnsiTheme="minorHAnsi" w:cstheme="minorBidi"/>
          <w:b w:val="0"/>
          <w:bCs w:val="0"/>
          <w:szCs w:val="22"/>
        </w:rPr>
        <w:t>PRIIA</w:t>
      </w:r>
      <w:r w:rsidR="0030511D">
        <w:rPr>
          <w:rFonts w:asciiTheme="minorHAnsi" w:eastAsiaTheme="minorHAnsi" w:hAnsiTheme="minorHAnsi" w:cstheme="minorBidi"/>
          <w:b w:val="0"/>
          <w:bCs w:val="0"/>
          <w:szCs w:val="22"/>
        </w:rPr>
        <w:t>)</w:t>
      </w:r>
      <w:r w:rsidRPr="00111820">
        <w:rPr>
          <w:rFonts w:asciiTheme="minorHAnsi" w:eastAsiaTheme="minorHAnsi" w:hAnsiTheme="minorHAnsi" w:cstheme="minorBidi"/>
          <w:b w:val="0"/>
          <w:bCs w:val="0"/>
          <w:szCs w:val="22"/>
        </w:rPr>
        <w:t>-authorized projects costing $100,000 or more, t</w:t>
      </w:r>
      <w:r w:rsidRPr="000E6F25">
        <w:rPr>
          <w:b w:val="0"/>
        </w:rPr>
        <w:t xml:space="preserve">he requirements apply to materials in </w:t>
      </w:r>
      <w:r w:rsidR="00FF68AA">
        <w:rPr>
          <w:b w:val="0"/>
        </w:rPr>
        <w:t>e</w:t>
      </w:r>
      <w:r w:rsidR="0030511D" w:rsidRPr="000E6F25">
        <w:rPr>
          <w:b w:val="0"/>
        </w:rPr>
        <w:t xml:space="preserve">nd </w:t>
      </w:r>
      <w:r w:rsidR="00FF68AA">
        <w:rPr>
          <w:b w:val="0"/>
        </w:rPr>
        <w:t>p</w:t>
      </w:r>
      <w:r w:rsidR="0030511D" w:rsidRPr="000E6F25">
        <w:rPr>
          <w:b w:val="0"/>
        </w:rPr>
        <w:t xml:space="preserve">roducts and </w:t>
      </w:r>
      <w:r w:rsidR="00FF68AA">
        <w:rPr>
          <w:b w:val="0"/>
        </w:rPr>
        <w:t>c</w:t>
      </w:r>
      <w:r w:rsidR="0030511D" w:rsidRPr="000E6F25">
        <w:rPr>
          <w:b w:val="0"/>
        </w:rPr>
        <w:t>omponents</w:t>
      </w:r>
      <w:r w:rsidR="0030511D">
        <w:rPr>
          <w:b w:val="0"/>
        </w:rPr>
        <w:t xml:space="preserve"> but not in </w:t>
      </w:r>
      <w:proofErr w:type="gramStart"/>
      <w:r w:rsidR="00FF68AA">
        <w:rPr>
          <w:b w:val="0"/>
        </w:rPr>
        <w:t>s</w:t>
      </w:r>
      <w:r w:rsidR="0030511D">
        <w:rPr>
          <w:b w:val="0"/>
        </w:rPr>
        <w:t>ubcom</w:t>
      </w:r>
      <w:r w:rsidR="00044D7E">
        <w:rPr>
          <w:b w:val="0"/>
        </w:rPr>
        <w:t xml:space="preserve">ponents </w:t>
      </w:r>
      <w:r w:rsidRPr="000E6F25">
        <w:rPr>
          <w:b w:val="0"/>
        </w:rPr>
        <w:t xml:space="preserve"> </w:t>
      </w:r>
      <w:r>
        <w:rPr>
          <w:b w:val="0"/>
        </w:rPr>
        <w:t>(</w:t>
      </w:r>
      <w:proofErr w:type="gramEnd"/>
      <w:r>
        <w:rPr>
          <w:b w:val="0"/>
        </w:rPr>
        <w:t>see definitions</w:t>
      </w:r>
      <w:r w:rsidR="00044D7E">
        <w:rPr>
          <w:b w:val="0"/>
        </w:rPr>
        <w:t xml:space="preserve"> below</w:t>
      </w:r>
      <w:r>
        <w:rPr>
          <w:b w:val="0"/>
        </w:rPr>
        <w:t>)</w:t>
      </w:r>
      <w:r w:rsidR="00044D7E">
        <w:rPr>
          <w:b w:val="0"/>
        </w:rPr>
        <w:t>.</w:t>
      </w:r>
      <w:r w:rsidRPr="000E6F25">
        <w:rPr>
          <w:b w:val="0"/>
        </w:rPr>
        <w:t xml:space="preserve"> </w:t>
      </w:r>
      <w:r>
        <w:rPr>
          <w:b w:val="0"/>
        </w:rPr>
        <w:t xml:space="preserve"> M</w:t>
      </w:r>
      <w:r w:rsidRPr="000E6F25">
        <w:rPr>
          <w:b w:val="0"/>
        </w:rPr>
        <w:t>aterials may be new or used</w:t>
      </w:r>
      <w:r>
        <w:rPr>
          <w:b w:val="0"/>
        </w:rPr>
        <w:t xml:space="preserve"> </w:t>
      </w:r>
      <w:r w:rsidRPr="000E6F25">
        <w:rPr>
          <w:b w:val="0"/>
        </w:rPr>
        <w:t xml:space="preserve">if used materials are repurposed in a project.  </w:t>
      </w:r>
    </w:p>
    <w:p w14:paraId="21D3C078" w14:textId="4CFDD4A9" w:rsidR="00472EC7" w:rsidRDefault="00472EC7" w:rsidP="00472EC7">
      <w:r>
        <w:t xml:space="preserve">For manufactured products to be considered “manufactured” in the United States, all of the manufacturing processes must </w:t>
      </w:r>
      <w:r w:rsidR="006747B7">
        <w:t xml:space="preserve">take place in the United States </w:t>
      </w:r>
      <w:r>
        <w:t xml:space="preserve">and the </w:t>
      </w:r>
      <w:r w:rsidR="006747B7">
        <w:t>c</w:t>
      </w:r>
      <w:r>
        <w:t xml:space="preserve">omponents of the products must be of U.S. origin (a </w:t>
      </w:r>
      <w:r w:rsidR="006747B7">
        <w:t>c</w:t>
      </w:r>
      <w:r>
        <w:t xml:space="preserve">omponent is considered </w:t>
      </w:r>
      <w:r w:rsidR="006747B7">
        <w:t>to be of</w:t>
      </w:r>
      <w:r>
        <w:t xml:space="preserve"> U.S. origin if it is manufactured in the United States, regardless of the origin of its </w:t>
      </w:r>
      <w:r w:rsidR="006747B7">
        <w:t>s</w:t>
      </w:r>
      <w:r>
        <w:t>ubcomponents).</w:t>
      </w:r>
    </w:p>
    <w:p w14:paraId="21D3C079" w14:textId="77777777" w:rsidR="00472EC7" w:rsidRDefault="00472EC7" w:rsidP="00472EC7"/>
    <w:p w14:paraId="44B67A3A" w14:textId="77777777" w:rsidR="005264DE" w:rsidRDefault="005264DE" w:rsidP="005264DE">
      <w:r>
        <w:t>For locomotives, railcars, and other rolling stock, all components must be manufactured in the United States and final assembly of the end product (e.g., railcar) must take place in the United States.   FRA has developed lists of items it has determined to be components of various railcar types.  The grantee should have used one of these lists in procurements for rolling stock.</w:t>
      </w:r>
    </w:p>
    <w:p w14:paraId="277BE4B4" w14:textId="77777777" w:rsidR="005264DE" w:rsidRDefault="005264DE" w:rsidP="005264DE"/>
    <w:p w14:paraId="21D3C07A" w14:textId="3C12BD81" w:rsidR="00472EC7" w:rsidRPr="00CB511E" w:rsidRDefault="005264DE" w:rsidP="005264DE">
      <w:pPr>
        <w:rPr>
          <w:color w:val="FF0000"/>
        </w:rPr>
      </w:pPr>
      <w:r>
        <w:t xml:space="preserve">Additional requirements apply to steel and iron used in projects.  For end products or components made predominantly of steel or iron (e.g., rail or grab bars) , manufacturing of the steel or iron used in those end products or components must also take place in the United States, except for metallurgical processes (including refinement of steel additives). </w:t>
      </w:r>
      <w:r w:rsidR="00CB511E">
        <w:rPr>
          <w:color w:val="FF0000"/>
        </w:rPr>
        <w:t xml:space="preserve"> </w:t>
      </w:r>
    </w:p>
    <w:p w14:paraId="21D3C07B" w14:textId="77777777" w:rsidR="00472EC7" w:rsidRPr="000E6F25" w:rsidRDefault="00472EC7" w:rsidP="006747B7">
      <w:pPr>
        <w:pStyle w:val="Heading3"/>
      </w:pPr>
      <w:r w:rsidRPr="000E6F25">
        <w:t>Definitions</w:t>
      </w:r>
    </w:p>
    <w:p w14:paraId="21D3C07C" w14:textId="46F6C664" w:rsidR="00472EC7" w:rsidRPr="006747B7" w:rsidRDefault="00472EC7" w:rsidP="006747B7">
      <w:pPr>
        <w:pStyle w:val="Bullet"/>
      </w:pPr>
      <w:r w:rsidRPr="006747B7">
        <w:rPr>
          <w:i/>
        </w:rPr>
        <w:t>End products.</w:t>
      </w:r>
      <w:r w:rsidR="003221A0">
        <w:rPr>
          <w:i/>
        </w:rPr>
        <w:t xml:space="preserve"> </w:t>
      </w:r>
      <w:r w:rsidRPr="006747B7">
        <w:t xml:space="preserve"> Incorporate components</w:t>
      </w:r>
      <w:r w:rsidR="006747B7">
        <w:t xml:space="preserve"> at the final assembly location</w:t>
      </w:r>
      <w:r w:rsidRPr="006747B7">
        <w:t xml:space="preserve"> and are acquired ready to provide the intended end function without further manufacturing or assembly.</w:t>
      </w:r>
    </w:p>
    <w:p w14:paraId="21D3C07D" w14:textId="035B9656" w:rsidR="00472EC7" w:rsidRPr="006747B7" w:rsidRDefault="00472EC7" w:rsidP="006747B7">
      <w:pPr>
        <w:pStyle w:val="Bullet"/>
      </w:pPr>
      <w:r w:rsidRPr="006747B7">
        <w:rPr>
          <w:i/>
        </w:rPr>
        <w:t>Components.</w:t>
      </w:r>
      <w:r w:rsidRPr="006747B7">
        <w:t xml:space="preserve"> </w:t>
      </w:r>
      <w:r w:rsidR="003221A0">
        <w:t xml:space="preserve"> </w:t>
      </w:r>
      <w:r w:rsidRPr="006747B7">
        <w:t>Directly incorporated into end products at the final assembly location.</w:t>
      </w:r>
    </w:p>
    <w:p w14:paraId="21D3C07E" w14:textId="544D73D0" w:rsidR="00472EC7" w:rsidRPr="006747B7" w:rsidRDefault="00472EC7" w:rsidP="006747B7">
      <w:pPr>
        <w:pStyle w:val="Bullet"/>
      </w:pPr>
      <w:r w:rsidRPr="006747B7">
        <w:rPr>
          <w:i/>
        </w:rPr>
        <w:t>Subcomponents.</w:t>
      </w:r>
      <w:r w:rsidRPr="006747B7">
        <w:t xml:space="preserve"> </w:t>
      </w:r>
      <w:r w:rsidR="003221A0">
        <w:t xml:space="preserve"> </w:t>
      </w:r>
      <w:r w:rsidRPr="006747B7">
        <w:t>One step removed from a component in the manufacturing process – they are incorporated into components during manufacturing.</w:t>
      </w:r>
    </w:p>
    <w:p w14:paraId="550BE761" w14:textId="77777777" w:rsidR="00CB511E" w:rsidRDefault="00472EC7" w:rsidP="006747B7">
      <w:pPr>
        <w:pStyle w:val="Bullet"/>
      </w:pPr>
      <w:r w:rsidRPr="00CB511E">
        <w:rPr>
          <w:i/>
        </w:rPr>
        <w:t>Manufacturing.</w:t>
      </w:r>
      <w:r w:rsidR="006747B7">
        <w:t xml:space="preserve"> </w:t>
      </w:r>
      <w:r w:rsidR="003221A0">
        <w:t xml:space="preserve"> </w:t>
      </w:r>
      <w:r w:rsidRPr="006747B7">
        <w:t>The application of processes to substantially transform and add value</w:t>
      </w:r>
      <w:r w:rsidR="006747B7">
        <w:t xml:space="preserve"> to components or subcomponents and</w:t>
      </w:r>
      <w:r w:rsidRPr="006747B7">
        <w:t xml:space="preserve"> to create a functionally different product</w:t>
      </w:r>
      <w:r w:rsidR="00CB511E">
        <w:t xml:space="preserve">. </w:t>
      </w:r>
    </w:p>
    <w:p w14:paraId="21D3C080" w14:textId="6DAC4608" w:rsidR="00472EC7" w:rsidRPr="006747B7" w:rsidRDefault="00CB511E" w:rsidP="006747B7">
      <w:pPr>
        <w:pStyle w:val="Bullet"/>
      </w:pPr>
      <w:r>
        <w:rPr>
          <w:i/>
        </w:rPr>
        <w:t>Fi</w:t>
      </w:r>
      <w:r w:rsidR="00472EC7" w:rsidRPr="00CB511E">
        <w:rPr>
          <w:i/>
        </w:rPr>
        <w:t xml:space="preserve">nal assembly. </w:t>
      </w:r>
      <w:r w:rsidR="003221A0" w:rsidRPr="00CB511E">
        <w:rPr>
          <w:i/>
        </w:rPr>
        <w:t xml:space="preserve"> </w:t>
      </w:r>
      <w:r w:rsidR="00472EC7" w:rsidRPr="006747B7">
        <w:t xml:space="preserve">The creation of an end product from individual elements brought together for that purpose through </w:t>
      </w:r>
      <w:r w:rsidR="006747B7">
        <w:t xml:space="preserve">the </w:t>
      </w:r>
      <w:r w:rsidR="00472EC7" w:rsidRPr="006747B7">
        <w:t>application of manufacturing processes.</w:t>
      </w:r>
    </w:p>
    <w:p w14:paraId="21D3C081" w14:textId="77777777" w:rsidR="00472EC7" w:rsidRPr="000E6F25" w:rsidRDefault="00472EC7" w:rsidP="006747B7">
      <w:pPr>
        <w:pStyle w:val="Heading3"/>
      </w:pPr>
      <w:r w:rsidRPr="000E6F25">
        <w:t>Waivers</w:t>
      </w:r>
    </w:p>
    <w:p w14:paraId="21D3C082" w14:textId="77777777" w:rsidR="00472EC7" w:rsidRDefault="00472EC7" w:rsidP="00472EC7">
      <w:r>
        <w:t>FRA may waive PRIAA Buy America requirements if the FRA Administrator finds that either (1) their application would be incons</w:t>
      </w:r>
      <w:r w:rsidR="006747B7">
        <w:t>istent with the public interest,</w:t>
      </w:r>
      <w:r>
        <w:t xml:space="preserve"> or (2) the materials for which a waiver is </w:t>
      </w:r>
      <w:r>
        <w:lastRenderedPageBreak/>
        <w:t xml:space="preserve">requested are not produced in the United States in sufficient and reasonably available quantities and of a satisfactory quality, or (3) that domestically manufactured rolling stock or power train equipment cannot be bought and delivered within a reasonable timeframe, or (4) that the inclusion of a domestic item or domestic material will increase the cost of the overall project by more than 25 percent. </w:t>
      </w:r>
    </w:p>
    <w:p w14:paraId="21D3C083" w14:textId="77777777" w:rsidR="00472EC7" w:rsidRDefault="00472EC7" w:rsidP="00472EC7"/>
    <w:p w14:paraId="21D3C084" w14:textId="649E1895" w:rsidR="00472EC7" w:rsidRDefault="00472EC7" w:rsidP="00472EC7">
      <w:r>
        <w:t xml:space="preserve">All waivers must be approved by the FRA Administrator or designee following a public comment period. </w:t>
      </w:r>
      <w:r w:rsidR="003221A0">
        <w:t xml:space="preserve"> </w:t>
      </w:r>
      <w:r>
        <w:t xml:space="preserve">In practice, waiver applications are </w:t>
      </w:r>
      <w:r w:rsidR="006747B7">
        <w:t>usually</w:t>
      </w:r>
      <w:r>
        <w:t xml:space="preserve"> reviewed by the Department of Transportation (DOT) Deputy Secretary. </w:t>
      </w:r>
      <w:r w:rsidR="003221A0">
        <w:t xml:space="preserve"> </w:t>
      </w:r>
      <w:r>
        <w:t>Waiver applications are likely to take six months or more to process.</w:t>
      </w:r>
      <w:r w:rsidR="003221A0">
        <w:t xml:space="preserve"> </w:t>
      </w:r>
      <w:r>
        <w:t xml:space="preserve"> A</w:t>
      </w:r>
      <w:r w:rsidR="006747B7">
        <w:t xml:space="preserve">ny waivers granted will be time limited and contingent </w:t>
      </w:r>
      <w:r>
        <w:t>on grantee agreement to continue to look for materials that meet Buy America requirements for future procurements.</w:t>
      </w:r>
    </w:p>
    <w:p w14:paraId="21D3C085" w14:textId="77777777" w:rsidR="00472EC7" w:rsidRDefault="00472EC7" w:rsidP="00472EC7">
      <w:pPr>
        <w:pStyle w:val="Heading2"/>
      </w:pPr>
      <w:r w:rsidRPr="00F76E6A">
        <w:t>41 U.S.C. § 8302</w:t>
      </w:r>
      <w:r>
        <w:t xml:space="preserve"> - Buy American Act </w:t>
      </w:r>
    </w:p>
    <w:p w14:paraId="3AE1FBD1" w14:textId="77777777" w:rsidR="005264DE" w:rsidRDefault="00472EC7" w:rsidP="00472EC7">
      <w:r w:rsidRPr="006F441D">
        <w:t xml:space="preserve">FRA has determined that </w:t>
      </w:r>
      <w:r w:rsidR="00CB511E">
        <w:t>R</w:t>
      </w:r>
      <w:r w:rsidR="006747B7">
        <w:t xml:space="preserve">ail </w:t>
      </w:r>
      <w:r w:rsidR="00CB511E">
        <w:t>L</w:t>
      </w:r>
      <w:r w:rsidR="006747B7">
        <w:t xml:space="preserve">ine </w:t>
      </w:r>
      <w:r w:rsidR="00CB511E">
        <w:t>R</w:t>
      </w:r>
      <w:r w:rsidR="006747B7">
        <w:t>elocation projects</w:t>
      </w:r>
      <w:r>
        <w:t xml:space="preserve"> and projects funded from FY </w:t>
      </w:r>
      <w:r w:rsidR="00D370CE">
        <w:t xml:space="preserve">2008 and FY </w:t>
      </w:r>
      <w:r w:rsidR="006747B7">
        <w:t xml:space="preserve">2009 </w:t>
      </w:r>
      <w:r w:rsidR="00D370CE">
        <w:t>A</w:t>
      </w:r>
      <w:r w:rsidR="006747B7">
        <w:t>ppropriations</w:t>
      </w:r>
      <w:r>
        <w:t xml:space="preserve"> are subject to the requirements of the Buy American Act of 1933. </w:t>
      </w:r>
      <w:r w:rsidR="003221A0">
        <w:t xml:space="preserve"> </w:t>
      </w:r>
    </w:p>
    <w:p w14:paraId="5F1E4555" w14:textId="77777777" w:rsidR="005264DE" w:rsidRDefault="005264DE" w:rsidP="00472EC7"/>
    <w:p w14:paraId="21D3C086" w14:textId="29A3F466" w:rsidR="00472EC7" w:rsidRDefault="005264DE" w:rsidP="00472EC7">
      <w:r w:rsidRPr="005264DE">
        <w:t xml:space="preserve">The Buy American Act requires that “only manufactured articles, materials, and supplies that have been manufactured in the United States substantially all [determined to mean greater than 50%] from articles, materials, or supplies mined, produced, or manufactured in the United States, shall be acquired for public use unless the head of the department or independent establishment concerned determines their acquisition to be inconsistent with the public interest or their cost to be unreasonable.”   </w:t>
      </w:r>
    </w:p>
    <w:p w14:paraId="21D3C087" w14:textId="77777777" w:rsidR="006747B7" w:rsidRDefault="006747B7" w:rsidP="00472EC7"/>
    <w:p w14:paraId="21D3C08A" w14:textId="56FC30B7" w:rsidR="00472EC7" w:rsidRDefault="00472EC7" w:rsidP="005264DE">
      <w:pPr>
        <w:pStyle w:val="Indent"/>
        <w:ind w:left="0"/>
      </w:pPr>
      <w:r w:rsidRPr="000E6F25">
        <w:t>FRA</w:t>
      </w:r>
      <w:r w:rsidR="00F615F3">
        <w:t xml:space="preserve"> generally</w:t>
      </w:r>
      <w:r w:rsidRPr="000E6F25">
        <w:t xml:space="preserve"> may waive the Buy American Act requiremen</w:t>
      </w:r>
      <w:r w:rsidR="007237A9">
        <w:t>ts using the same justification</w:t>
      </w:r>
      <w:r w:rsidRPr="000E6F25">
        <w:t xml:space="preserve"> as the PRIIA Buy America statute, with one </w:t>
      </w:r>
      <w:r w:rsidR="00044D7E">
        <w:t xml:space="preserve">exception: </w:t>
      </w:r>
      <w:r w:rsidR="00F615F3">
        <w:t xml:space="preserve">if the cost of </w:t>
      </w:r>
      <w:r w:rsidRPr="000E6F25">
        <w:t>a domestic item or domestic material will increase the co</w:t>
      </w:r>
      <w:r w:rsidR="006747B7">
        <w:t>st of the contract between the G</w:t>
      </w:r>
      <w:r w:rsidRPr="000E6F25">
        <w:t xml:space="preserve">rantee and </w:t>
      </w:r>
      <w:r w:rsidR="006747B7">
        <w:t>the</w:t>
      </w:r>
      <w:r w:rsidRPr="000E6F25">
        <w:t xml:space="preserve"> supplier of that item or material by more than 6 percent. </w:t>
      </w:r>
      <w:r w:rsidR="003221A0">
        <w:t xml:space="preserve"> </w:t>
      </w:r>
    </w:p>
    <w:p w14:paraId="23E5C981" w14:textId="77777777" w:rsidR="00F615F3" w:rsidRDefault="00F615F3" w:rsidP="005264DE">
      <w:pPr>
        <w:pStyle w:val="Indent"/>
        <w:ind w:left="0"/>
      </w:pPr>
    </w:p>
    <w:p w14:paraId="4170185B" w14:textId="4CFAC271" w:rsidR="00F615F3" w:rsidRPr="0024797B" w:rsidRDefault="00F615F3" w:rsidP="005264DE">
      <w:pPr>
        <w:pStyle w:val="Indent"/>
        <w:ind w:left="0"/>
      </w:pPr>
      <w:r w:rsidRPr="00F615F3">
        <w:t>Other exceptions to the Buy American Act exist where items are not 1) produced, or manufactured in the United States in sufficient and reasonably available commercial quantities and are not of a satisfactory quality” and 2) “procured under any contract with an award value that is not more than the micro-purchase threshold,” which is currently set at $3,000.</w:t>
      </w:r>
    </w:p>
    <w:p w14:paraId="21D3C098" w14:textId="77777777" w:rsidR="00472EC7" w:rsidRDefault="00472EC7" w:rsidP="00DB69C9">
      <w:pPr>
        <w:pStyle w:val="Heading1"/>
        <w:keepLines w:val="0"/>
      </w:pPr>
      <w:r>
        <w:t>Scope of work</w:t>
      </w:r>
    </w:p>
    <w:p w14:paraId="21D3C09B" w14:textId="31228EC5" w:rsidR="00DB69C9" w:rsidRDefault="00472EC7" w:rsidP="00D370CE">
      <w:r>
        <w:t>The MTAC should ensure that the Grantee understands that fai</w:t>
      </w:r>
      <w:r w:rsidR="00044D7E">
        <w:t>lure to comply with Buy America</w:t>
      </w:r>
      <w:r w:rsidR="00F615F3">
        <w:t>/n</w:t>
      </w:r>
      <w:r>
        <w:t xml:space="preserve"> requirements can </w:t>
      </w:r>
      <w:r w:rsidR="00DB69C9">
        <w:t xml:space="preserve">jeopardize </w:t>
      </w:r>
      <w:r>
        <w:t xml:space="preserve">its FRA grant.  </w:t>
      </w:r>
      <w:r w:rsidR="00D370CE">
        <w:t xml:space="preserve">The </w:t>
      </w:r>
      <w:r w:rsidR="00044D7E" w:rsidRPr="009B67CC">
        <w:t>MTAC</w:t>
      </w:r>
      <w:r w:rsidR="00044D7E">
        <w:t xml:space="preserve"> will evaluate the Grantee’s compliance with Buy America</w:t>
      </w:r>
      <w:r w:rsidR="00F615F3">
        <w:t>/n</w:t>
      </w:r>
      <w:r w:rsidR="00044D7E">
        <w:t xml:space="preserve"> and will make recommendations if the Grantee encounters any difficulties. </w:t>
      </w:r>
      <w:r w:rsidR="003221A0">
        <w:t xml:space="preserve"> </w:t>
      </w:r>
      <w:r w:rsidR="00044D7E">
        <w:t xml:space="preserve">The MTAC will perform this work </w:t>
      </w:r>
      <w:r w:rsidR="00F615F3">
        <w:t>as directed by FRA, usually at completion of PE and FD</w:t>
      </w:r>
      <w:r w:rsidR="00177728">
        <w:t xml:space="preserve"> for infrastructure, and when specifications are written and before bidding for vehicles.</w:t>
      </w:r>
      <w:r w:rsidR="00F615F3">
        <w:t xml:space="preserve"> </w:t>
      </w:r>
      <w:r w:rsidR="00044D7E">
        <w:t xml:space="preserve"> </w:t>
      </w:r>
    </w:p>
    <w:p w14:paraId="5BFF4CDF" w14:textId="77777777" w:rsidR="00D370CE" w:rsidRDefault="00D370CE" w:rsidP="00D370CE">
      <w:pPr>
        <w:pStyle w:val="Heading2"/>
      </w:pPr>
      <w:r>
        <w:t>Compliance Requirements for Grantees</w:t>
      </w:r>
    </w:p>
    <w:p w14:paraId="6C34E9B1" w14:textId="77777777" w:rsidR="00D370CE" w:rsidRDefault="00D370CE" w:rsidP="00D370CE">
      <w:pPr>
        <w:spacing w:after="120"/>
      </w:pPr>
      <w:r>
        <w:t xml:space="preserve">The Grantee is responsible for showing compliance by taking the following actions: </w:t>
      </w:r>
    </w:p>
    <w:p w14:paraId="44F60D9B" w14:textId="77777777" w:rsidR="00D370CE" w:rsidRDefault="00D370CE" w:rsidP="00D370CE">
      <w:pPr>
        <w:pStyle w:val="hsr1"/>
        <w:numPr>
          <w:ilvl w:val="0"/>
          <w:numId w:val="46"/>
        </w:numPr>
      </w:pPr>
      <w:r>
        <w:t xml:space="preserve">Ensure that the design, detailing, and specification of materials and manufactured end products and components are done with domestic sourcing in mind. </w:t>
      </w:r>
    </w:p>
    <w:p w14:paraId="406693AF" w14:textId="53970C44" w:rsidR="00430644" w:rsidRPr="00430644" w:rsidRDefault="00D370CE" w:rsidP="00430644">
      <w:pPr>
        <w:pStyle w:val="hsr1"/>
      </w:pPr>
      <w:r>
        <w:lastRenderedPageBreak/>
        <w:t xml:space="preserve">Perform Buy America reviews before releasing construction documents for bid or specifications for manufacture; verify </w:t>
      </w:r>
      <w:r w:rsidR="00430644" w:rsidRPr="00430644">
        <w:t xml:space="preserve">references to the applicable statutes and regulations </w:t>
      </w:r>
      <w:r w:rsidR="00430644">
        <w:t xml:space="preserve">are </w:t>
      </w:r>
      <w:r w:rsidR="00430644" w:rsidRPr="00430644">
        <w:t>in solicitations and requests for proposals (RFPs)</w:t>
      </w:r>
    </w:p>
    <w:p w14:paraId="0408F47A" w14:textId="5C067CFE" w:rsidR="00430644" w:rsidRPr="00430644" w:rsidRDefault="00D370CE" w:rsidP="00430644">
      <w:pPr>
        <w:pStyle w:val="hsr2"/>
      </w:pPr>
      <w:r>
        <w:t xml:space="preserve">Verify that </w:t>
      </w:r>
      <w:r w:rsidR="00430644">
        <w:t>a</w:t>
      </w:r>
      <w:r w:rsidR="00430644" w:rsidRPr="00430644">
        <w:t xml:space="preserve">ll iron, steel, end products and components are </w:t>
      </w:r>
      <w:r w:rsidR="00430644">
        <w:t>called to be manufactured domestically unless a waiver is obtained from FRA</w:t>
      </w:r>
      <w:r w:rsidR="00430644" w:rsidRPr="00430644">
        <w:t xml:space="preserve"> </w:t>
      </w:r>
    </w:p>
    <w:p w14:paraId="7BE39A49" w14:textId="71ADB73C" w:rsidR="00D370CE" w:rsidRDefault="00D370CE" w:rsidP="00D370CE">
      <w:pPr>
        <w:pStyle w:val="hsr2"/>
      </w:pPr>
      <w:r>
        <w:t>Include provisions in</w:t>
      </w:r>
      <w:r w:rsidR="00430644">
        <w:t xml:space="preserve"> </w:t>
      </w:r>
      <w:r>
        <w:t>procurement contracts to ensure that the applicable statutory requirements flow down to suppliers, contractors, and sub-contractors</w:t>
      </w:r>
    </w:p>
    <w:p w14:paraId="65A2E99D" w14:textId="03FF56FA" w:rsidR="00D370CE" w:rsidRDefault="00D370CE" w:rsidP="00D370CE">
      <w:pPr>
        <w:pStyle w:val="hsr1"/>
      </w:pPr>
      <w:r>
        <w:t>After the award, c</w:t>
      </w:r>
      <w:r w:rsidRPr="00A56A0A">
        <w:t xml:space="preserve">onfirm that </w:t>
      </w:r>
      <w:r>
        <w:t>contractors</w:t>
      </w:r>
      <w:r w:rsidR="00A9432D">
        <w:t>/</w:t>
      </w:r>
      <w:r w:rsidRPr="00A56A0A">
        <w:t xml:space="preserve">manufacturers </w:t>
      </w:r>
      <w:r>
        <w:t xml:space="preserve">understand they </w:t>
      </w:r>
      <w:r w:rsidRPr="00A56A0A">
        <w:t>are responsible for complying with Buy America/n</w:t>
      </w:r>
      <w:r>
        <w:t xml:space="preserve">, and evaluate whether they are capable of complying. </w:t>
      </w:r>
    </w:p>
    <w:p w14:paraId="35E9190F" w14:textId="77777777" w:rsidR="00D370CE" w:rsidRDefault="00D370CE" w:rsidP="00D370CE">
      <w:pPr>
        <w:pStyle w:val="hsr1"/>
      </w:pPr>
      <w:r>
        <w:t xml:space="preserve">Inspect manufacturer’s facilities to verify domestic sourcing.  </w:t>
      </w:r>
    </w:p>
    <w:p w14:paraId="4A7312F0" w14:textId="77777777" w:rsidR="00D370CE" w:rsidRDefault="00D370CE" w:rsidP="00D370CE">
      <w:pPr>
        <w:pStyle w:val="hsr1"/>
      </w:pPr>
      <w:r w:rsidRPr="00577D18">
        <w:t xml:space="preserve">Obtain signed certifications from suppliers and contractors </w:t>
      </w:r>
      <w:r>
        <w:t>when</w:t>
      </w:r>
      <w:r w:rsidRPr="00577D18">
        <w:t xml:space="preserve"> const</w:t>
      </w:r>
      <w:r>
        <w:t>ruction materials are installed</w:t>
      </w:r>
      <w:r w:rsidRPr="00577D18">
        <w:t xml:space="preserve"> or </w:t>
      </w:r>
      <w:r>
        <w:t xml:space="preserve">during the manufacturing process. </w:t>
      </w:r>
    </w:p>
    <w:p w14:paraId="603DB612" w14:textId="2BCE60D5" w:rsidR="00F615F3" w:rsidRPr="00F615F3" w:rsidRDefault="00F615F3" w:rsidP="00F615F3">
      <w:pPr>
        <w:pStyle w:val="hsr1"/>
      </w:pPr>
      <w:r>
        <w:t>Perform formal pre and post award audits for rolling stock procurements</w:t>
      </w:r>
    </w:p>
    <w:p w14:paraId="0B896359" w14:textId="16421715" w:rsidR="00D370CE" w:rsidRDefault="00D370CE" w:rsidP="00D370CE">
      <w:pPr>
        <w:pStyle w:val="Heading2"/>
      </w:pPr>
      <w:r>
        <w:t>MTAC Evaluation of Compliance</w:t>
      </w:r>
    </w:p>
    <w:p w14:paraId="21D3C09C" w14:textId="454D64D7" w:rsidR="00472EC7" w:rsidRDefault="00A9432D" w:rsidP="00044D7E">
      <w:pPr>
        <w:pStyle w:val="hsr1"/>
        <w:numPr>
          <w:ilvl w:val="0"/>
          <w:numId w:val="48"/>
        </w:numPr>
      </w:pPr>
      <w:r>
        <w:t>E</w:t>
      </w:r>
      <w:r w:rsidR="00472EC7">
        <w:t>nsure Grantee</w:t>
      </w:r>
      <w:r>
        <w:t>s</w:t>
      </w:r>
      <w:r w:rsidR="00472EC7">
        <w:t xml:space="preserve"> take </w:t>
      </w:r>
      <w:r>
        <w:t>th</w:t>
      </w:r>
      <w:r w:rsidR="00472EC7">
        <w:t>e actions</w:t>
      </w:r>
      <w:r w:rsidR="00820620">
        <w:t xml:space="preserve"> </w:t>
      </w:r>
      <w:r>
        <w:t xml:space="preserve">noted </w:t>
      </w:r>
      <w:r w:rsidR="00820620">
        <w:t>above</w:t>
      </w:r>
      <w:r>
        <w:t>.  MTAC to perform the following:</w:t>
      </w:r>
      <w:r w:rsidR="00820620">
        <w:t xml:space="preserve"> </w:t>
      </w:r>
    </w:p>
    <w:p w14:paraId="21D3C09D" w14:textId="77777777" w:rsidR="00472EC7" w:rsidRDefault="00472EC7" w:rsidP="00DB69C9">
      <w:pPr>
        <w:pStyle w:val="hsr2"/>
      </w:pPr>
      <w:r>
        <w:t>During design</w:t>
      </w:r>
      <w:r w:rsidR="00DB69C9">
        <w:t>:</w:t>
      </w:r>
    </w:p>
    <w:p w14:paraId="21D3C09E" w14:textId="175C0762" w:rsidR="00472EC7" w:rsidRDefault="00472EC7" w:rsidP="00DB69C9">
      <w:pPr>
        <w:pStyle w:val="hsr3"/>
      </w:pPr>
      <w:r w:rsidRPr="00145145">
        <w:t xml:space="preserve">Check that Grantee’s procedures will </w:t>
      </w:r>
      <w:r w:rsidR="00DB69C9">
        <w:t>en</w:t>
      </w:r>
      <w:r w:rsidR="00DB69C9" w:rsidRPr="00145145">
        <w:t xml:space="preserve">sure </w:t>
      </w:r>
      <w:r w:rsidRPr="00145145">
        <w:t>early detection of any deficiencies in procurement regulations</w:t>
      </w:r>
    </w:p>
    <w:p w14:paraId="21D3C09F" w14:textId="4094017C" w:rsidR="00472EC7" w:rsidRPr="00145145" w:rsidRDefault="00472EC7" w:rsidP="00DB69C9">
      <w:pPr>
        <w:pStyle w:val="hsr3"/>
      </w:pPr>
      <w:r w:rsidRPr="00145145">
        <w:t>Guide Grantees when manufacturers are found to be deficient in Buy America or other related requirements</w:t>
      </w:r>
    </w:p>
    <w:p w14:paraId="21D3C0A0" w14:textId="77777777" w:rsidR="00472EC7" w:rsidRDefault="00472EC7" w:rsidP="00DB69C9">
      <w:pPr>
        <w:pStyle w:val="hsr2"/>
      </w:pPr>
      <w:r>
        <w:t>Before solicitation</w:t>
      </w:r>
      <w:r w:rsidR="00DB69C9">
        <w:t>:</w:t>
      </w:r>
    </w:p>
    <w:p w14:paraId="21D3C0A1" w14:textId="0909C572" w:rsidR="00472EC7" w:rsidRPr="00145145" w:rsidRDefault="00472EC7" w:rsidP="00DB69C9">
      <w:pPr>
        <w:pStyle w:val="hsr3"/>
      </w:pPr>
      <w:r w:rsidRPr="00145145">
        <w:t>Review the Grantee’s bid documents for requirements that could impact the ability of contractors or manufacturers to comply</w:t>
      </w:r>
    </w:p>
    <w:p w14:paraId="21D3C0A2" w14:textId="56E86042" w:rsidR="00472EC7" w:rsidRDefault="00472EC7" w:rsidP="00DB69C9">
      <w:pPr>
        <w:pStyle w:val="hsr3"/>
      </w:pPr>
      <w:r>
        <w:t xml:space="preserve">Oversee pre-award reviews conducted by the Grantee before entering into a contract for construction or purchase for manufactured goods  </w:t>
      </w:r>
    </w:p>
    <w:p w14:paraId="21D3C0A3" w14:textId="2BC1A682" w:rsidR="00472EC7" w:rsidRDefault="00472EC7" w:rsidP="00DB69C9">
      <w:pPr>
        <w:pStyle w:val="hsr3"/>
      </w:pPr>
      <w:r>
        <w:t>Encourage the Grantee to conduct intermediate reviews for rolling stock procurements</w:t>
      </w:r>
    </w:p>
    <w:p w14:paraId="21D3C0A4" w14:textId="77777777" w:rsidR="00472EC7" w:rsidRDefault="00472EC7" w:rsidP="00DB69C9">
      <w:pPr>
        <w:pStyle w:val="hsr2"/>
      </w:pPr>
      <w:r>
        <w:t xml:space="preserve">After </w:t>
      </w:r>
      <w:r w:rsidR="00DB69C9">
        <w:t xml:space="preserve">the </w:t>
      </w:r>
      <w:r>
        <w:t>award</w:t>
      </w:r>
      <w:r w:rsidR="00DB69C9">
        <w:t>:</w:t>
      </w:r>
    </w:p>
    <w:p w14:paraId="21D3C0A5" w14:textId="7BFAFA07" w:rsidR="00472EC7" w:rsidRDefault="00472EC7" w:rsidP="00DB69C9">
      <w:pPr>
        <w:pStyle w:val="hsr3"/>
      </w:pPr>
      <w:r>
        <w:t xml:space="preserve">Oversee </w:t>
      </w:r>
      <w:r w:rsidR="00DB69C9">
        <w:t xml:space="preserve">the </w:t>
      </w:r>
      <w:r>
        <w:t xml:space="preserve">Grantee’s </w:t>
      </w:r>
      <w:r w:rsidR="00CE485F">
        <w:t xml:space="preserve">post-award audit and its </w:t>
      </w:r>
      <w:r>
        <w:t>confirmation that contractors and manufacturers are responsible for and capable of complying</w:t>
      </w:r>
    </w:p>
    <w:p w14:paraId="21D3C0A6" w14:textId="34C36122" w:rsidR="00472EC7" w:rsidRDefault="00472EC7" w:rsidP="00DB69C9">
      <w:pPr>
        <w:pStyle w:val="hsr3"/>
      </w:pPr>
      <w:r w:rsidRPr="00145145">
        <w:t xml:space="preserve">Confirm the Grantee has verified the manufacturer’s bid specifications </w:t>
      </w:r>
      <w:r>
        <w:t>comply</w:t>
      </w:r>
    </w:p>
    <w:p w14:paraId="21D3C0A7" w14:textId="77777777" w:rsidR="00472EC7" w:rsidRDefault="00472EC7" w:rsidP="00DB69C9">
      <w:pPr>
        <w:pStyle w:val="hsr2"/>
      </w:pPr>
      <w:r>
        <w:t>D</w:t>
      </w:r>
      <w:r w:rsidRPr="00145145">
        <w:t>uring construction and manufacturing</w:t>
      </w:r>
      <w:r w:rsidR="00DB69C9">
        <w:t>:</w:t>
      </w:r>
      <w:r w:rsidRPr="00145145">
        <w:t xml:space="preserve"> </w:t>
      </w:r>
    </w:p>
    <w:p w14:paraId="21D3C0A8" w14:textId="6E33BE49" w:rsidR="00472EC7" w:rsidRPr="00145145" w:rsidRDefault="00472EC7" w:rsidP="00DB69C9">
      <w:pPr>
        <w:pStyle w:val="hsr3"/>
      </w:pPr>
      <w:r w:rsidRPr="00145145">
        <w:t xml:space="preserve">Evaluate data provided to </w:t>
      </w:r>
      <w:r w:rsidR="00DB69C9">
        <w:t xml:space="preserve">the </w:t>
      </w:r>
      <w:r w:rsidRPr="00145145">
        <w:t>Grantees by contractors and manufacturers</w:t>
      </w:r>
    </w:p>
    <w:p w14:paraId="21D3C0A9" w14:textId="5217F034" w:rsidR="00472EC7" w:rsidRPr="00145145" w:rsidRDefault="00472EC7" w:rsidP="00DB69C9">
      <w:pPr>
        <w:pStyle w:val="hsr3"/>
      </w:pPr>
      <w:r w:rsidRPr="00145145">
        <w:t xml:space="preserve">Verify final assembly sites along with tangible information and references to FRA regulations </w:t>
      </w:r>
      <w:r w:rsidR="00DB69C9">
        <w:t>to enable</w:t>
      </w:r>
      <w:r w:rsidRPr="00145145">
        <w:t xml:space="preserve"> </w:t>
      </w:r>
      <w:r>
        <w:t>Grantees t</w:t>
      </w:r>
      <w:r w:rsidRPr="00145145">
        <w:t>o a</w:t>
      </w:r>
      <w:r>
        <w:t>ccurately evaluate Buy America review</w:t>
      </w:r>
      <w:r w:rsidRPr="00145145">
        <w:t xml:space="preserve"> results</w:t>
      </w:r>
    </w:p>
    <w:p w14:paraId="21D3C0AA" w14:textId="7B66D420" w:rsidR="00472EC7" w:rsidRPr="00145145" w:rsidRDefault="00472EC7" w:rsidP="00DB69C9">
      <w:pPr>
        <w:pStyle w:val="hsr3"/>
      </w:pPr>
      <w:r w:rsidRPr="00145145">
        <w:t xml:space="preserve">Monitor </w:t>
      </w:r>
      <w:r>
        <w:t xml:space="preserve">compliance </w:t>
      </w:r>
      <w:r w:rsidRPr="00145145">
        <w:t xml:space="preserve">before manufactured </w:t>
      </w:r>
      <w:r w:rsidR="00DB69C9">
        <w:t>e</w:t>
      </w:r>
      <w:r w:rsidR="00DB69C9" w:rsidRPr="00145145">
        <w:t xml:space="preserve">nd </w:t>
      </w:r>
      <w:r w:rsidR="00DB69C9">
        <w:t>p</w:t>
      </w:r>
      <w:r w:rsidR="00DB69C9" w:rsidRPr="00145145">
        <w:t>roducts</w:t>
      </w:r>
      <w:r w:rsidRPr="00145145">
        <w:t xml:space="preserve"> are delivered and placed into service</w:t>
      </w:r>
    </w:p>
    <w:p w14:paraId="21D3C0AB" w14:textId="32E4DCA4" w:rsidR="00472EC7" w:rsidRDefault="00472EC7" w:rsidP="00DB69C9">
      <w:pPr>
        <w:pStyle w:val="hsr3"/>
      </w:pPr>
      <w:r>
        <w:t xml:space="preserve">Confirm the Grantee has obtained signed certifications for all iron, steel, </w:t>
      </w:r>
      <w:r w:rsidR="00DB69C9">
        <w:t xml:space="preserve">and </w:t>
      </w:r>
      <w:r>
        <w:t>manufactured</w:t>
      </w:r>
      <w:r w:rsidR="00DB69C9">
        <w:t xml:space="preserve"> end products</w:t>
      </w:r>
      <w:r>
        <w:t xml:space="preserve"> (including rolling stock)</w:t>
      </w:r>
    </w:p>
    <w:p w14:paraId="21D3C0AC" w14:textId="3873ADE5" w:rsidR="00472EC7" w:rsidRDefault="00472EC7" w:rsidP="00DB69C9">
      <w:pPr>
        <w:pStyle w:val="hsr3"/>
      </w:pPr>
      <w:r>
        <w:t xml:space="preserve">Confirm that the </w:t>
      </w:r>
      <w:r w:rsidR="00DB69C9">
        <w:t>G</w:t>
      </w:r>
      <w:r>
        <w:t>rantee has obtained signed Buy America certifications</w:t>
      </w:r>
      <w:r w:rsidR="00DB69C9">
        <w:t xml:space="preserve"> </w:t>
      </w:r>
      <w:r>
        <w:t xml:space="preserve"> </w:t>
      </w:r>
      <w:r w:rsidR="00430644">
        <w:t>for m</w:t>
      </w:r>
      <w:r>
        <w:t xml:space="preserve">anufactured end products and their components </w:t>
      </w:r>
      <w:r w:rsidR="00430644">
        <w:t xml:space="preserve"> </w:t>
      </w:r>
      <w:r>
        <w:t xml:space="preserve">(See Appendix A </w:t>
      </w:r>
      <w:r w:rsidR="000B5F71">
        <w:t xml:space="preserve">of this MP </w:t>
      </w:r>
      <w:r>
        <w:t>for example</w:t>
      </w:r>
      <w:r w:rsidR="00DB69C9">
        <w:t>s of</w:t>
      </w:r>
      <w:r>
        <w:t xml:space="preserve"> certifications)</w:t>
      </w:r>
    </w:p>
    <w:p w14:paraId="21D3C0AD" w14:textId="151FF9A2" w:rsidR="00472EC7" w:rsidRDefault="00472EC7" w:rsidP="00DB69C9">
      <w:pPr>
        <w:pStyle w:val="hsr3"/>
      </w:pPr>
      <w:r>
        <w:t xml:space="preserve">Check that the Grantee’s certification includes the most up-to-date language requiring compliance with Buy America.  MTACs </w:t>
      </w:r>
      <w:r w:rsidR="00DB69C9">
        <w:t>should</w:t>
      </w:r>
      <w:r>
        <w:t xml:space="preserve"> consult the FRA Buy America website </w:t>
      </w:r>
      <w:r w:rsidR="00DB69C9">
        <w:t xml:space="preserve">at </w:t>
      </w:r>
      <w:hyperlink r:id="rId13" w:history="1">
        <w:r w:rsidR="00DB69C9" w:rsidRPr="00EC332D">
          <w:rPr>
            <w:rStyle w:val="Hyperlink"/>
          </w:rPr>
          <w:t>https://www.fra.dot.gov/Page/P0185</w:t>
        </w:r>
      </w:hyperlink>
      <w:r w:rsidR="00DB69C9">
        <w:t xml:space="preserve"> </w:t>
      </w:r>
      <w:r>
        <w:t xml:space="preserve">for recent changes  </w:t>
      </w:r>
    </w:p>
    <w:p w14:paraId="21D3C0AE" w14:textId="06B87D6B" w:rsidR="00472EC7" w:rsidRDefault="008C7372" w:rsidP="00DB69C9">
      <w:pPr>
        <w:pStyle w:val="hsr3"/>
      </w:pPr>
      <w:r>
        <w:lastRenderedPageBreak/>
        <w:t xml:space="preserve">Review </w:t>
      </w:r>
      <w:r w:rsidR="00472EC7">
        <w:t>the Grantee’s certifications and supporting documents</w:t>
      </w:r>
      <w:r>
        <w:t xml:space="preserve"> in detail</w:t>
      </w:r>
      <w:r w:rsidR="00472EC7">
        <w:t xml:space="preserve">. </w:t>
      </w:r>
      <w:r>
        <w:t xml:space="preserve">Ensure </w:t>
      </w:r>
      <w:r w:rsidR="00472EC7">
        <w:t xml:space="preserve"> the Grantee’s Buy America team has “drilled down” to the lowest level required </w:t>
      </w:r>
      <w:r>
        <w:t>t</w:t>
      </w:r>
      <w:r w:rsidR="00472EC7">
        <w:t>o demonstrate that claims of U.S. origin content are valid</w:t>
      </w:r>
    </w:p>
    <w:p w14:paraId="21D3C0AF" w14:textId="7A8F38B6" w:rsidR="00472EC7" w:rsidRDefault="00472EC7" w:rsidP="00DB69C9">
      <w:pPr>
        <w:pStyle w:val="hsr3"/>
      </w:pPr>
      <w:r>
        <w:t>Ensure that component manufacturing requirements are met</w:t>
      </w:r>
      <w:r w:rsidR="008C7372">
        <w:t>. If</w:t>
      </w:r>
      <w:r>
        <w:t xml:space="preserve"> there is doubt (for instance whe</w:t>
      </w:r>
      <w:r w:rsidR="008C7372">
        <w:t>n</w:t>
      </w:r>
      <w:r>
        <w:t xml:space="preserve"> major sub-assemblies of a component are made out-of-country but incorporated during the domestic vehicle final assembly)</w:t>
      </w:r>
      <w:r w:rsidR="008C7372">
        <w:t xml:space="preserve"> </w:t>
      </w:r>
      <w:r w:rsidR="00430644">
        <w:t xml:space="preserve">bring these to </w:t>
      </w:r>
      <w:r w:rsidR="00EB67B9">
        <w:t xml:space="preserve">the </w:t>
      </w:r>
      <w:r>
        <w:t xml:space="preserve">Grantee’s attention for clarification. If the Grantee cannot justify the discrepancy, the MTAC should report this finding to the FRA for </w:t>
      </w:r>
      <w:r w:rsidR="00EB67B9">
        <w:t>further action</w:t>
      </w:r>
      <w:r>
        <w:t>.</w:t>
      </w:r>
    </w:p>
    <w:p w14:paraId="21D3C0B0" w14:textId="77777777" w:rsidR="00472EC7" w:rsidRDefault="00472EC7" w:rsidP="00DB69C9">
      <w:pPr>
        <w:pStyle w:val="hsr2"/>
      </w:pPr>
      <w:r>
        <w:t>Throughout the entire process</w:t>
      </w:r>
      <w:r w:rsidR="00C43628">
        <w:t>:</w:t>
      </w:r>
    </w:p>
    <w:p w14:paraId="21D3C0B2" w14:textId="2CE6CD36" w:rsidR="00472EC7" w:rsidRDefault="00C43628" w:rsidP="00DB69C9">
      <w:pPr>
        <w:pStyle w:val="hsr3"/>
      </w:pPr>
      <w:r>
        <w:t>Intervene at the appropriate time</w:t>
      </w:r>
      <w:r w:rsidR="00472EC7">
        <w:t xml:space="preserve"> </w:t>
      </w:r>
      <w:r>
        <w:t>if it appears</w:t>
      </w:r>
      <w:r w:rsidR="00472EC7">
        <w:t xml:space="preserve"> that Buy America might not be met or the Grantee’s audit is inadequate</w:t>
      </w:r>
      <w:r w:rsidR="00A9432D">
        <w:t>; r</w:t>
      </w:r>
      <w:r w:rsidR="00472EC7">
        <w:t xml:space="preserve">equest FRA intervention when deficiencies are uncovered; provide reporting protocols </w:t>
      </w:r>
      <w:r>
        <w:t xml:space="preserve">for the Grantee </w:t>
      </w:r>
      <w:r w:rsidR="00472EC7">
        <w:t>to adopt</w:t>
      </w:r>
    </w:p>
    <w:p w14:paraId="5B499AE6" w14:textId="77777777" w:rsidR="00565DF0" w:rsidRDefault="00C43628" w:rsidP="00C43628">
      <w:pPr>
        <w:pStyle w:val="hsr1"/>
      </w:pPr>
      <w:r>
        <w:t>T</w:t>
      </w:r>
      <w:r w:rsidR="00472EC7">
        <w:t xml:space="preserve">he MTAC </w:t>
      </w:r>
      <w:r w:rsidR="00565DF0">
        <w:t xml:space="preserve">should </w:t>
      </w:r>
      <w:r w:rsidR="00472EC7">
        <w:t>discuss recommendations and possible corrective actions with the</w:t>
      </w:r>
      <w:r w:rsidR="00565DF0">
        <w:t xml:space="preserve"> FRA and concurrently with the</w:t>
      </w:r>
      <w:r w:rsidR="00472EC7">
        <w:t xml:space="preserve"> Grantee</w:t>
      </w:r>
      <w:r w:rsidR="00565DF0">
        <w:t>.  Examples:</w:t>
      </w:r>
    </w:p>
    <w:p w14:paraId="381B4D18" w14:textId="1E774341" w:rsidR="00FD632C" w:rsidRDefault="004A372A" w:rsidP="00FD632C">
      <w:pPr>
        <w:pStyle w:val="hsr2"/>
      </w:pPr>
      <w:r>
        <w:t>Advise</w:t>
      </w:r>
      <w:r w:rsidR="00565DF0" w:rsidRPr="00565DF0">
        <w:t xml:space="preserve"> </w:t>
      </w:r>
      <w:r w:rsidR="00FD632C">
        <w:t xml:space="preserve">revision of Grantee’s </w:t>
      </w:r>
      <w:r w:rsidR="00565DF0">
        <w:t xml:space="preserve">procurement </w:t>
      </w:r>
      <w:r w:rsidR="00FD632C">
        <w:t xml:space="preserve">documents to include </w:t>
      </w:r>
      <w:r w:rsidR="00472EC7">
        <w:t xml:space="preserve">Buy America </w:t>
      </w:r>
    </w:p>
    <w:p w14:paraId="473EC17F" w14:textId="088171F8" w:rsidR="00FD632C" w:rsidRDefault="004A372A" w:rsidP="00FD632C">
      <w:pPr>
        <w:pStyle w:val="hsr2"/>
      </w:pPr>
      <w:r>
        <w:t>Ad</w:t>
      </w:r>
      <w:r w:rsidR="00FD632C" w:rsidRPr="00FD632C">
        <w:t xml:space="preserve">vise </w:t>
      </w:r>
      <w:r w:rsidR="00FD632C">
        <w:t xml:space="preserve">performance of a procurement review by </w:t>
      </w:r>
      <w:r w:rsidR="00FD632C" w:rsidRPr="00FD632C">
        <w:t>the Grantee</w:t>
      </w:r>
      <w:r w:rsidR="00FD632C">
        <w:t xml:space="preserve"> </w:t>
      </w:r>
      <w:r w:rsidR="00FD632C" w:rsidRPr="00FD632C">
        <w:t>to</w:t>
      </w:r>
      <w:r w:rsidR="00FD632C">
        <w:t xml:space="preserve"> verify </w:t>
      </w:r>
      <w:r w:rsidR="00FD632C" w:rsidRPr="00FD632C">
        <w:t>compl</w:t>
      </w:r>
      <w:r>
        <w:t>iance</w:t>
      </w:r>
      <w:r w:rsidR="00FD632C">
        <w:t>; where faults exist, to</w:t>
      </w:r>
      <w:r w:rsidR="00FD632C" w:rsidRPr="00FD632C">
        <w:t xml:space="preserve"> modify </w:t>
      </w:r>
      <w:r w:rsidR="00FD632C">
        <w:t>language and p</w:t>
      </w:r>
      <w:r w:rsidR="00FD632C" w:rsidRPr="00FD632C">
        <w:t>rocedures for future procurements</w:t>
      </w:r>
      <w:r w:rsidR="00FD632C">
        <w:t>.</w:t>
      </w:r>
    </w:p>
    <w:p w14:paraId="36B1B91A" w14:textId="30EECC45" w:rsidR="00FD632C" w:rsidRDefault="004A372A" w:rsidP="00A9432D">
      <w:pPr>
        <w:pStyle w:val="hsr2"/>
      </w:pPr>
      <w:r>
        <w:t xml:space="preserve">Advise </w:t>
      </w:r>
      <w:r w:rsidR="00FD632C">
        <w:t>explanation of circumstances that have led to a</w:t>
      </w:r>
      <w:r w:rsidR="00472EC7">
        <w:t xml:space="preserve"> manufacturer’s </w:t>
      </w:r>
      <w:r w:rsidR="00FD632C">
        <w:t xml:space="preserve">noncompliant </w:t>
      </w:r>
      <w:r w:rsidR="00472EC7">
        <w:t>process</w:t>
      </w:r>
      <w:r w:rsidR="00FD632C">
        <w:t xml:space="preserve"> that</w:t>
      </w:r>
      <w:r w:rsidR="00472EC7">
        <w:t xml:space="preserve"> include</w:t>
      </w:r>
      <w:r w:rsidR="005E5590">
        <w:t>s</w:t>
      </w:r>
      <w:r w:rsidR="00472EC7">
        <w:t xml:space="preserve"> partial assembly outside of the U.S. </w:t>
      </w:r>
    </w:p>
    <w:p w14:paraId="21D3C0BC" w14:textId="118BD270" w:rsidR="00472EC7" w:rsidRDefault="00472EC7" w:rsidP="00A9432D">
      <w:pPr>
        <w:pStyle w:val="hsr2"/>
        <w:numPr>
          <w:ilvl w:val="0"/>
          <w:numId w:val="0"/>
        </w:numPr>
      </w:pPr>
    </w:p>
    <w:p w14:paraId="0FF4827A" w14:textId="77777777" w:rsidR="00A9432D" w:rsidRDefault="001C235D" w:rsidP="00A9432D">
      <w:pPr>
        <w:pStyle w:val="Heading1"/>
        <w:spacing w:before="0" w:after="0"/>
      </w:pPr>
      <w:r>
        <w:t>REFERENCES</w:t>
      </w:r>
      <w:r w:rsidR="0077526B">
        <w:t xml:space="preserve"> – See MP 0</w:t>
      </w:r>
      <w:r w:rsidR="00A9432D">
        <w:t>1</w:t>
      </w:r>
    </w:p>
    <w:p w14:paraId="5C3FD484" w14:textId="77777777" w:rsidR="00A9432D" w:rsidRPr="00A9432D" w:rsidRDefault="00A9432D" w:rsidP="00A9432D"/>
    <w:p w14:paraId="5C757F53" w14:textId="638238D7" w:rsidR="00C223DA" w:rsidRDefault="00A9432D" w:rsidP="00A9432D">
      <w:pPr>
        <w:pStyle w:val="Heading1"/>
        <w:spacing w:before="0" w:after="0"/>
      </w:pPr>
      <w:r>
        <w:t>CERTIFICATES (samples)</w:t>
      </w:r>
    </w:p>
    <w:p w14:paraId="21D3C0C8" w14:textId="64078A3F" w:rsidR="00472EC7" w:rsidRPr="00C223DA" w:rsidRDefault="00A9432D" w:rsidP="00C223DA">
      <w:pPr>
        <w:pStyle w:val="Heading1"/>
        <w:numPr>
          <w:ilvl w:val="0"/>
          <w:numId w:val="0"/>
        </w:numPr>
        <w:ind w:left="432" w:hanging="432"/>
        <w:rPr>
          <w:b w:val="0"/>
          <w:caps w:val="0"/>
        </w:rPr>
      </w:pPr>
      <w:r>
        <w:rPr>
          <w:b w:val="0"/>
          <w:caps w:val="0"/>
        </w:rPr>
        <w:t xml:space="preserve">These </w:t>
      </w:r>
      <w:r w:rsidR="00472EC7" w:rsidRPr="00C223DA">
        <w:rPr>
          <w:b w:val="0"/>
          <w:caps w:val="0"/>
        </w:rPr>
        <w:t>certificat</w:t>
      </w:r>
      <w:r w:rsidR="00FD632C" w:rsidRPr="00C223DA">
        <w:rPr>
          <w:b w:val="0"/>
          <w:caps w:val="0"/>
        </w:rPr>
        <w:t>es</w:t>
      </w:r>
      <w:r w:rsidR="00472EC7" w:rsidRPr="00C223DA">
        <w:rPr>
          <w:b w:val="0"/>
          <w:caps w:val="0"/>
        </w:rPr>
        <w:t xml:space="preserve"> </w:t>
      </w:r>
      <w:r w:rsidR="00FD632C" w:rsidRPr="00C223DA">
        <w:rPr>
          <w:b w:val="0"/>
          <w:caps w:val="0"/>
        </w:rPr>
        <w:t xml:space="preserve">are </w:t>
      </w:r>
      <w:r w:rsidR="00472EC7" w:rsidRPr="00C223DA">
        <w:rPr>
          <w:b w:val="0"/>
          <w:caps w:val="0"/>
        </w:rPr>
        <w:t>required for Buy America compliance</w:t>
      </w:r>
      <w:r>
        <w:rPr>
          <w:b w:val="0"/>
          <w:caps w:val="0"/>
        </w:rPr>
        <w:t xml:space="preserve">, </w:t>
      </w:r>
      <w:hyperlink r:id="rId14" w:history="1">
        <w:r w:rsidR="00472EC7" w:rsidRPr="00C223DA">
          <w:rPr>
            <w:rStyle w:val="Hyperlink"/>
            <w:b w:val="0"/>
            <w:caps w:val="0"/>
          </w:rPr>
          <w:t>https://www.fra.dot.gov/Page/P0185</w:t>
        </w:r>
      </w:hyperlink>
    </w:p>
    <w:p w14:paraId="21D3C0CA" w14:textId="77777777" w:rsidR="00472EC7" w:rsidRPr="00946A6B" w:rsidRDefault="00472EC7" w:rsidP="00472EC7">
      <w:pPr>
        <w:rPr>
          <w:rFonts w:ascii="Calibri" w:eastAsia="Times New Roman" w:hAnsi="Calibri" w:cs="Times New Roman"/>
          <w:color w:val="0000FF"/>
          <w:u w:val="single"/>
        </w:rPr>
      </w:pPr>
      <w:r w:rsidRPr="00946A6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D3C12C" wp14:editId="4041C296">
                <wp:simplePos x="0" y="0"/>
                <wp:positionH relativeFrom="column">
                  <wp:posOffset>-85725</wp:posOffset>
                </wp:positionH>
                <wp:positionV relativeFrom="paragraph">
                  <wp:posOffset>116205</wp:posOffset>
                </wp:positionV>
                <wp:extent cx="6343650" cy="1685925"/>
                <wp:effectExtent l="0" t="0" r="19050" b="28575"/>
                <wp:wrapNone/>
                <wp:docPr id="3" name="Rectangle 6"/>
                <wp:cNvGraphicFramePr/>
                <a:graphic xmlns:a="http://schemas.openxmlformats.org/drawingml/2006/main">
                  <a:graphicData uri="http://schemas.microsoft.com/office/word/2010/wordprocessingShape">
                    <wps:wsp>
                      <wps:cNvSpPr/>
                      <wps:spPr>
                        <a:xfrm>
                          <a:off x="0" y="0"/>
                          <a:ext cx="6343650" cy="1685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75pt;margin-top:9.15pt;width:499.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" filled="f" strokecolor="windowText" strokeweight="1pt"/>
            </w:pict>
          </mc:Fallback>
        </mc:AlternateContent>
      </w:r>
    </w:p>
    <w:p w14:paraId="21D3C0CB" w14:textId="77777777" w:rsidR="00472EC7" w:rsidRPr="00A9432D" w:rsidRDefault="00472EC7" w:rsidP="00472EC7">
      <w:pPr>
        <w:jc w:val="center"/>
        <w:rPr>
          <w:rFonts w:ascii="Calibri" w:eastAsia="Times New Roman" w:hAnsi="Calibri" w:cs="Times New Roman"/>
          <w:b/>
          <w:color w:val="000000" w:themeColor="text1"/>
          <w:sz w:val="20"/>
          <w:szCs w:val="20"/>
          <w:u w:val="single"/>
        </w:rPr>
      </w:pPr>
      <w:r w:rsidRPr="00A9432D">
        <w:rPr>
          <w:rFonts w:ascii="Calibri" w:eastAsia="Times New Roman" w:hAnsi="Calibri" w:cs="Times New Roman"/>
          <w:b/>
          <w:color w:val="000000" w:themeColor="text1"/>
          <w:sz w:val="20"/>
          <w:szCs w:val="20"/>
          <w:u w:val="single"/>
        </w:rPr>
        <w:t>Certificate of Compliance with Buy America Requirements</w:t>
      </w:r>
    </w:p>
    <w:p w14:paraId="21D3C0CC" w14:textId="77777777" w:rsidR="00472EC7" w:rsidRPr="00A9432D" w:rsidRDefault="00472EC7" w:rsidP="00472EC7">
      <w:pPr>
        <w:rPr>
          <w:rFonts w:ascii="Calibri" w:eastAsia="Times New Roman" w:hAnsi="Calibri" w:cs="Times New Roman"/>
          <w:color w:val="000000" w:themeColor="text1"/>
          <w:sz w:val="20"/>
          <w:szCs w:val="20"/>
          <w:u w:val="single"/>
        </w:rPr>
      </w:pPr>
    </w:p>
    <w:p w14:paraId="21D3C0CD" w14:textId="77777777" w:rsidR="00472EC7" w:rsidRPr="00A9432D" w:rsidRDefault="00472EC7" w:rsidP="00472EC7">
      <w:pPr>
        <w:rPr>
          <w:rFonts w:ascii="Calibri" w:eastAsia="Times New Roman" w:hAnsi="Calibri" w:cs="Times New Roman"/>
          <w:color w:val="000000" w:themeColor="text1"/>
          <w:sz w:val="20"/>
          <w:szCs w:val="20"/>
        </w:rPr>
      </w:pPr>
      <w:r w:rsidRPr="00A9432D">
        <w:rPr>
          <w:rFonts w:ascii="Calibri" w:eastAsia="Times New Roman" w:hAnsi="Calibri" w:cs="Times New Roman"/>
          <w:color w:val="000000" w:themeColor="text1"/>
          <w:sz w:val="20"/>
          <w:szCs w:val="20"/>
        </w:rPr>
        <w:t xml:space="preserve">The bidder or </w:t>
      </w:r>
      <w:proofErr w:type="spellStart"/>
      <w:r w:rsidRPr="00A9432D">
        <w:rPr>
          <w:rFonts w:ascii="Calibri" w:eastAsia="Times New Roman" w:hAnsi="Calibri" w:cs="Times New Roman"/>
          <w:color w:val="000000" w:themeColor="text1"/>
          <w:sz w:val="20"/>
          <w:szCs w:val="20"/>
        </w:rPr>
        <w:t>offeror</w:t>
      </w:r>
      <w:proofErr w:type="spellEnd"/>
      <w:r w:rsidRPr="00A9432D">
        <w:rPr>
          <w:rFonts w:ascii="Calibri" w:eastAsia="Times New Roman" w:hAnsi="Calibri" w:cs="Times New Roman"/>
          <w:color w:val="000000" w:themeColor="text1"/>
          <w:sz w:val="20"/>
          <w:szCs w:val="20"/>
        </w:rPr>
        <w:t xml:space="preserve"> hereby certifies that it will comply with the FRA Buy America requirements of 49 U.S.C. Section 24405(a</w:t>
      </w:r>
      <w:proofErr w:type="gramStart"/>
      <w:r w:rsidRPr="00A9432D">
        <w:rPr>
          <w:rFonts w:ascii="Calibri" w:eastAsia="Times New Roman" w:hAnsi="Calibri" w:cs="Times New Roman"/>
          <w:color w:val="000000" w:themeColor="text1"/>
          <w:sz w:val="20"/>
          <w:szCs w:val="20"/>
        </w:rPr>
        <w:t>)(</w:t>
      </w:r>
      <w:proofErr w:type="gramEnd"/>
      <w:r w:rsidRPr="00A9432D">
        <w:rPr>
          <w:rFonts w:ascii="Calibri" w:eastAsia="Times New Roman" w:hAnsi="Calibri" w:cs="Times New Roman"/>
          <w:color w:val="000000" w:themeColor="text1"/>
          <w:sz w:val="20"/>
          <w:szCs w:val="20"/>
        </w:rPr>
        <w:t>1).</w:t>
      </w:r>
    </w:p>
    <w:p w14:paraId="3166163A" w14:textId="77777777" w:rsidR="004E5162" w:rsidRPr="00A9432D" w:rsidRDefault="004E5162" w:rsidP="00472EC7">
      <w:pPr>
        <w:rPr>
          <w:rFonts w:ascii="Calibri" w:eastAsia="Times New Roman" w:hAnsi="Calibri" w:cs="Times New Roman"/>
          <w:color w:val="000000" w:themeColor="text1"/>
          <w:sz w:val="20"/>
          <w:szCs w:val="20"/>
          <w:u w:val="single"/>
        </w:rPr>
      </w:pPr>
    </w:p>
    <w:p w14:paraId="21D3C0CF" w14:textId="77777777" w:rsidR="00472EC7" w:rsidRPr="00A9432D" w:rsidRDefault="00472EC7" w:rsidP="00472EC7">
      <w:pPr>
        <w:rPr>
          <w:rFonts w:ascii="Calibri" w:eastAsia="Times New Roman" w:hAnsi="Calibri" w:cs="Times New Roman"/>
          <w:color w:val="000000" w:themeColor="text1"/>
          <w:sz w:val="20"/>
          <w:szCs w:val="20"/>
          <w:u w:val="single"/>
        </w:rPr>
      </w:pPr>
      <w:r w:rsidRPr="00A9432D">
        <w:rPr>
          <w:rFonts w:ascii="Calibri" w:eastAsia="Times New Roman" w:hAnsi="Calibri" w:cs="Times New Roman"/>
          <w:color w:val="000000" w:themeColor="text1"/>
          <w:sz w:val="20"/>
          <w:szCs w:val="20"/>
          <w:u w:val="single"/>
        </w:rPr>
        <w:t>Date___________________________________________________________________</w:t>
      </w:r>
    </w:p>
    <w:p w14:paraId="21D3C0D0" w14:textId="77777777" w:rsidR="00472EC7" w:rsidRPr="00A9432D" w:rsidRDefault="00472EC7" w:rsidP="00472EC7">
      <w:pPr>
        <w:rPr>
          <w:rFonts w:ascii="Calibri" w:eastAsia="Times New Roman" w:hAnsi="Calibri" w:cs="Times New Roman"/>
          <w:color w:val="000000" w:themeColor="text1"/>
          <w:sz w:val="20"/>
          <w:szCs w:val="20"/>
          <w:u w:val="single"/>
        </w:rPr>
      </w:pPr>
      <w:r w:rsidRPr="00A9432D">
        <w:rPr>
          <w:rFonts w:ascii="Calibri" w:eastAsia="Times New Roman" w:hAnsi="Calibri" w:cs="Times New Roman"/>
          <w:color w:val="000000" w:themeColor="text1"/>
          <w:sz w:val="20"/>
          <w:szCs w:val="20"/>
          <w:u w:val="single"/>
        </w:rPr>
        <w:t>Signature______________________________________________________________ Company______________________________________________________________</w:t>
      </w:r>
    </w:p>
    <w:p w14:paraId="21D3C0D1" w14:textId="7D531212" w:rsidR="00472EC7" w:rsidRPr="00A9432D" w:rsidRDefault="00472EC7" w:rsidP="00472EC7">
      <w:pPr>
        <w:rPr>
          <w:rFonts w:ascii="Calibri" w:eastAsia="Times New Roman" w:hAnsi="Calibri" w:cs="Times New Roman"/>
          <w:color w:val="000000" w:themeColor="text1"/>
          <w:sz w:val="20"/>
          <w:szCs w:val="20"/>
          <w:u w:val="single"/>
        </w:rPr>
      </w:pPr>
      <w:r w:rsidRPr="00A9432D">
        <w:rPr>
          <w:rFonts w:ascii="Calibri" w:eastAsia="Times New Roman" w:hAnsi="Calibri" w:cs="Times New Roman"/>
          <w:color w:val="000000" w:themeColor="text1"/>
          <w:sz w:val="20"/>
          <w:szCs w:val="20"/>
          <w:u w:val="single"/>
        </w:rPr>
        <w:t>Name</w:t>
      </w:r>
      <w:r w:rsidR="00A9432D" w:rsidRPr="00A9432D">
        <w:rPr>
          <w:rFonts w:ascii="Calibri" w:eastAsia="Times New Roman" w:hAnsi="Calibri" w:cs="Times New Roman"/>
          <w:color w:val="000000" w:themeColor="text1"/>
          <w:sz w:val="20"/>
          <w:szCs w:val="20"/>
          <w:u w:val="single"/>
        </w:rPr>
        <w:t>, Title</w:t>
      </w:r>
      <w:r w:rsidRPr="00A9432D">
        <w:rPr>
          <w:rFonts w:ascii="Calibri" w:eastAsia="Times New Roman" w:hAnsi="Calibri" w:cs="Times New Roman"/>
          <w:color w:val="000000" w:themeColor="text1"/>
          <w:sz w:val="20"/>
          <w:szCs w:val="20"/>
          <w:u w:val="single"/>
        </w:rPr>
        <w:t>___________________________________________</w:t>
      </w:r>
      <w:r w:rsidR="00A9432D" w:rsidRPr="00A9432D">
        <w:rPr>
          <w:rFonts w:ascii="Calibri" w:eastAsia="Times New Roman" w:hAnsi="Calibri" w:cs="Times New Roman"/>
          <w:color w:val="000000" w:themeColor="text1"/>
          <w:sz w:val="20"/>
          <w:szCs w:val="20"/>
          <w:u w:val="single"/>
        </w:rPr>
        <w:t>__________________</w:t>
      </w:r>
    </w:p>
    <w:p w14:paraId="21D3C0D2" w14:textId="77777777" w:rsidR="00472EC7" w:rsidRPr="00A9432D" w:rsidRDefault="00472EC7" w:rsidP="00472EC7">
      <w:pPr>
        <w:rPr>
          <w:rFonts w:ascii="Calibri" w:eastAsia="Times New Roman" w:hAnsi="Calibri" w:cs="Times New Roman"/>
          <w:color w:val="000000" w:themeColor="text1"/>
          <w:sz w:val="20"/>
          <w:szCs w:val="20"/>
          <w:u w:val="single"/>
        </w:rPr>
      </w:pPr>
    </w:p>
    <w:p w14:paraId="21D3C0D4" w14:textId="77777777" w:rsidR="00472EC7" w:rsidRPr="00A9432D" w:rsidRDefault="00472EC7" w:rsidP="00472EC7">
      <w:pPr>
        <w:rPr>
          <w:rFonts w:ascii="Calibri" w:eastAsia="Times New Roman" w:hAnsi="Calibri" w:cs="Times New Roman"/>
          <w:color w:val="000000" w:themeColor="text1"/>
          <w:sz w:val="20"/>
          <w:szCs w:val="20"/>
          <w:u w:val="single"/>
        </w:rPr>
      </w:pPr>
      <w:r w:rsidRPr="00A9432D">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21D3C12E" wp14:editId="6B6E0603">
                <wp:simplePos x="0" y="0"/>
                <wp:positionH relativeFrom="column">
                  <wp:posOffset>-85725</wp:posOffset>
                </wp:positionH>
                <wp:positionV relativeFrom="paragraph">
                  <wp:posOffset>92075</wp:posOffset>
                </wp:positionV>
                <wp:extent cx="6343650" cy="1619250"/>
                <wp:effectExtent l="0" t="0" r="19050" b="19050"/>
                <wp:wrapNone/>
                <wp:docPr id="4" name="Rectangle 7"/>
                <wp:cNvGraphicFramePr/>
                <a:graphic xmlns:a="http://schemas.openxmlformats.org/drawingml/2006/main">
                  <a:graphicData uri="http://schemas.microsoft.com/office/word/2010/wordprocessingShape">
                    <wps:wsp>
                      <wps:cNvSpPr/>
                      <wps:spPr>
                        <a:xfrm>
                          <a:off x="0" y="0"/>
                          <a:ext cx="6343650" cy="1619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75pt;margin-top:7.25pt;width:49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" filled="f" strokecolor="windowText" strokeweight="1pt"/>
            </w:pict>
          </mc:Fallback>
        </mc:AlternateContent>
      </w:r>
    </w:p>
    <w:p w14:paraId="21D3C0D5" w14:textId="77777777" w:rsidR="00472EC7" w:rsidRPr="00A9432D" w:rsidRDefault="00472EC7" w:rsidP="00472EC7">
      <w:pPr>
        <w:ind w:left="1440" w:firstLine="720"/>
        <w:rPr>
          <w:rFonts w:ascii="Calibri" w:eastAsia="Times New Roman" w:hAnsi="Calibri" w:cs="Times New Roman"/>
          <w:b/>
          <w:color w:val="000000" w:themeColor="text1"/>
          <w:sz w:val="20"/>
          <w:szCs w:val="20"/>
          <w:u w:val="single"/>
        </w:rPr>
      </w:pPr>
      <w:r w:rsidRPr="00A9432D">
        <w:rPr>
          <w:rFonts w:ascii="Calibri" w:eastAsia="Times New Roman" w:hAnsi="Calibri" w:cs="Times New Roman"/>
          <w:b/>
          <w:color w:val="000000" w:themeColor="text1"/>
          <w:sz w:val="20"/>
          <w:szCs w:val="20"/>
          <w:u w:val="single"/>
        </w:rPr>
        <w:t>Certificate of Non-Compliance with Buy America Requirements</w:t>
      </w:r>
    </w:p>
    <w:p w14:paraId="21D3C0D6" w14:textId="77777777" w:rsidR="00472EC7" w:rsidRPr="00A9432D" w:rsidRDefault="00472EC7" w:rsidP="00472EC7">
      <w:pPr>
        <w:rPr>
          <w:rFonts w:ascii="Calibri" w:eastAsia="Times New Roman" w:hAnsi="Calibri" w:cs="Times New Roman"/>
          <w:color w:val="000000" w:themeColor="text1"/>
          <w:sz w:val="20"/>
          <w:szCs w:val="20"/>
          <w:u w:val="single"/>
        </w:rPr>
      </w:pPr>
    </w:p>
    <w:p w14:paraId="21D3C0D7" w14:textId="77777777" w:rsidR="00472EC7" w:rsidRPr="00A9432D" w:rsidRDefault="00472EC7" w:rsidP="00472EC7">
      <w:pPr>
        <w:rPr>
          <w:rFonts w:ascii="Calibri" w:eastAsia="Times New Roman" w:hAnsi="Calibri" w:cs="Times New Roman"/>
          <w:color w:val="000000" w:themeColor="text1"/>
          <w:sz w:val="20"/>
          <w:szCs w:val="20"/>
        </w:rPr>
      </w:pPr>
      <w:r w:rsidRPr="00A9432D">
        <w:rPr>
          <w:rFonts w:ascii="Calibri" w:eastAsia="Times New Roman" w:hAnsi="Calibri" w:cs="Times New Roman"/>
          <w:color w:val="000000" w:themeColor="text1"/>
          <w:sz w:val="20"/>
          <w:szCs w:val="20"/>
        </w:rPr>
        <w:t xml:space="preserve">The bidder or </w:t>
      </w:r>
      <w:proofErr w:type="spellStart"/>
      <w:r w:rsidRPr="00A9432D">
        <w:rPr>
          <w:rFonts w:ascii="Calibri" w:eastAsia="Times New Roman" w:hAnsi="Calibri" w:cs="Times New Roman"/>
          <w:color w:val="000000" w:themeColor="text1"/>
          <w:sz w:val="20"/>
          <w:szCs w:val="20"/>
        </w:rPr>
        <w:t>offeror</w:t>
      </w:r>
      <w:proofErr w:type="spellEnd"/>
      <w:r w:rsidRPr="00A9432D">
        <w:rPr>
          <w:rFonts w:ascii="Calibri" w:eastAsia="Times New Roman" w:hAnsi="Calibri" w:cs="Times New Roman"/>
          <w:color w:val="000000" w:themeColor="text1"/>
          <w:sz w:val="20"/>
          <w:szCs w:val="20"/>
        </w:rPr>
        <w:t xml:space="preserve"> hereby certifies that it cannot comply with the requirements of 49 U.S.C. Section 24405(a</w:t>
      </w:r>
      <w:proofErr w:type="gramStart"/>
      <w:r w:rsidRPr="00A9432D">
        <w:rPr>
          <w:rFonts w:ascii="Calibri" w:eastAsia="Times New Roman" w:hAnsi="Calibri" w:cs="Times New Roman"/>
          <w:color w:val="000000" w:themeColor="text1"/>
          <w:sz w:val="20"/>
          <w:szCs w:val="20"/>
        </w:rPr>
        <w:t>)(</w:t>
      </w:r>
      <w:proofErr w:type="gramEnd"/>
      <w:r w:rsidRPr="00A9432D">
        <w:rPr>
          <w:rFonts w:ascii="Calibri" w:eastAsia="Times New Roman" w:hAnsi="Calibri" w:cs="Times New Roman"/>
          <w:color w:val="000000" w:themeColor="text1"/>
          <w:sz w:val="20"/>
          <w:szCs w:val="20"/>
        </w:rPr>
        <w:t>1), but it may qualify for an exception to the requirement pursuant to 49 U.S.C. Section 24405(a)(2).</w:t>
      </w:r>
    </w:p>
    <w:p w14:paraId="21D3C0D8" w14:textId="77777777" w:rsidR="00472EC7" w:rsidRPr="00A9432D" w:rsidRDefault="00472EC7" w:rsidP="00472EC7">
      <w:pPr>
        <w:rPr>
          <w:rFonts w:ascii="Calibri" w:eastAsia="Times New Roman" w:hAnsi="Calibri" w:cs="Times New Roman"/>
          <w:color w:val="000000" w:themeColor="text1"/>
          <w:sz w:val="20"/>
          <w:szCs w:val="20"/>
          <w:u w:val="single"/>
        </w:rPr>
      </w:pPr>
    </w:p>
    <w:p w14:paraId="5B87848E" w14:textId="78F52DA0" w:rsidR="004E5162" w:rsidRPr="00A9432D" w:rsidRDefault="00472EC7" w:rsidP="00472EC7">
      <w:pPr>
        <w:rPr>
          <w:rFonts w:ascii="Calibri" w:eastAsia="Times New Roman" w:hAnsi="Calibri" w:cs="Times New Roman"/>
          <w:color w:val="000000" w:themeColor="text1"/>
          <w:sz w:val="20"/>
          <w:szCs w:val="20"/>
          <w:u w:val="single"/>
        </w:rPr>
      </w:pPr>
      <w:r w:rsidRPr="00A9432D">
        <w:rPr>
          <w:rFonts w:ascii="Calibri" w:eastAsia="Times New Roman" w:hAnsi="Calibri" w:cs="Times New Roman"/>
          <w:color w:val="000000" w:themeColor="text1"/>
          <w:sz w:val="20"/>
          <w:szCs w:val="20"/>
          <w:u w:val="single"/>
        </w:rPr>
        <w:t>Date_________________________________________________________________ Signature______________________________________________________________</w:t>
      </w:r>
    </w:p>
    <w:p w14:paraId="71C9B497" w14:textId="77777777" w:rsidR="00A9432D" w:rsidRPr="00A9432D" w:rsidRDefault="00472EC7" w:rsidP="00C223DA">
      <w:pPr>
        <w:rPr>
          <w:rFonts w:ascii="Calibri" w:eastAsia="Times New Roman" w:hAnsi="Calibri" w:cs="Times New Roman"/>
          <w:color w:val="000000" w:themeColor="text1"/>
          <w:sz w:val="20"/>
          <w:szCs w:val="20"/>
          <w:u w:val="single"/>
        </w:rPr>
      </w:pPr>
      <w:r w:rsidRPr="00A9432D">
        <w:rPr>
          <w:rFonts w:ascii="Calibri" w:eastAsia="Times New Roman" w:hAnsi="Calibri" w:cs="Times New Roman"/>
          <w:color w:val="000000" w:themeColor="text1"/>
          <w:sz w:val="20"/>
          <w:szCs w:val="20"/>
          <w:u w:val="single"/>
        </w:rPr>
        <w:t>Company________________________________________</w:t>
      </w:r>
      <w:r w:rsidR="00C223DA" w:rsidRPr="00A9432D">
        <w:rPr>
          <w:rFonts w:ascii="Calibri" w:eastAsia="Times New Roman" w:hAnsi="Calibri" w:cs="Times New Roman"/>
          <w:color w:val="000000" w:themeColor="text1"/>
          <w:sz w:val="20"/>
          <w:szCs w:val="20"/>
          <w:u w:val="single"/>
        </w:rPr>
        <w:t xml:space="preserve"> </w:t>
      </w:r>
    </w:p>
    <w:p w14:paraId="21D3C129" w14:textId="65C77770" w:rsidR="002A2725" w:rsidRPr="00A9432D" w:rsidRDefault="00C223DA" w:rsidP="00A9432D">
      <w:pPr>
        <w:rPr>
          <w:sz w:val="20"/>
          <w:szCs w:val="20"/>
        </w:rPr>
      </w:pPr>
      <w:r w:rsidRPr="00A9432D">
        <w:rPr>
          <w:rFonts w:ascii="Calibri" w:eastAsia="Times New Roman" w:hAnsi="Calibri" w:cs="Times New Roman"/>
          <w:color w:val="000000" w:themeColor="text1"/>
          <w:sz w:val="20"/>
          <w:szCs w:val="20"/>
          <w:u w:val="single"/>
        </w:rPr>
        <w:t>Name</w:t>
      </w:r>
      <w:r w:rsidR="00A9432D" w:rsidRPr="00A9432D">
        <w:rPr>
          <w:rFonts w:ascii="Calibri" w:eastAsia="Times New Roman" w:hAnsi="Calibri" w:cs="Times New Roman"/>
          <w:color w:val="000000" w:themeColor="text1"/>
          <w:sz w:val="20"/>
          <w:szCs w:val="20"/>
          <w:u w:val="single"/>
        </w:rPr>
        <w:t>, Title</w:t>
      </w:r>
      <w:r w:rsidRPr="00A9432D">
        <w:rPr>
          <w:rFonts w:ascii="Calibri" w:eastAsia="Times New Roman" w:hAnsi="Calibri" w:cs="Times New Roman"/>
          <w:color w:val="000000" w:themeColor="text1"/>
          <w:sz w:val="20"/>
          <w:szCs w:val="20"/>
          <w:u w:val="single"/>
        </w:rPr>
        <w:t>___________________________________ __</w:t>
      </w:r>
    </w:p>
    <w:sectPr w:rsidR="002A2725" w:rsidRPr="00A9432D" w:rsidSect="002A272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2887" w14:textId="77777777" w:rsidR="00BF2707" w:rsidRDefault="00BF2707" w:rsidP="00F75A79">
      <w:r>
        <w:separator/>
      </w:r>
    </w:p>
  </w:endnote>
  <w:endnote w:type="continuationSeparator" w:id="0">
    <w:p w14:paraId="47C41F8A" w14:textId="77777777" w:rsidR="00BF2707" w:rsidRDefault="00BF2707"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6BF0B" w14:textId="77777777" w:rsidR="00895244" w:rsidRDefault="00895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09C7" w14:textId="57401DE6" w:rsidR="00A9432D" w:rsidRDefault="00A9432D" w:rsidP="00A9432D">
    <w:pPr>
      <w:pStyle w:val="Footer"/>
    </w:pPr>
    <w:r>
      <w:t xml:space="preserve">MP </w:t>
    </w:r>
    <w:r w:rsidRPr="00DD0500">
      <w:t>3</w:t>
    </w:r>
    <w:r>
      <w:t>6</w:t>
    </w:r>
    <w:r w:rsidRPr="00DD0500">
      <w:t xml:space="preserve"> – </w:t>
    </w:r>
    <w:r>
      <w:t xml:space="preserve">Buy </w:t>
    </w:r>
    <w:r w:rsidRPr="00DD0500">
      <w:t>America</w:t>
    </w:r>
    <w:r>
      <w:t>/</w:t>
    </w:r>
    <w:r w:rsidRPr="00DD0500">
      <w:t>n</w:t>
    </w:r>
    <w:r>
      <w:t xml:space="preserve"> Review</w:t>
    </w:r>
  </w:p>
  <w:p w14:paraId="149AFFF9" w14:textId="1DB83C65" w:rsidR="00A9432D" w:rsidRDefault="00A9432D" w:rsidP="00A9432D">
    <w:pPr>
      <w:pStyle w:val="Footer"/>
    </w:pPr>
    <w:r>
      <w:t xml:space="preserve">For </w:t>
    </w:r>
    <w:r w:rsidR="00846CAA">
      <w:t xml:space="preserve">FRA </w:t>
    </w:r>
    <w:r>
      <w:t xml:space="preserve">Internal Use Only, Draft, </w:t>
    </w:r>
    <w:r w:rsidR="00895244">
      <w:t>August</w:t>
    </w:r>
    <w:r>
      <w:t xml:space="preserve"> 2014</w:t>
    </w:r>
  </w:p>
  <w:p w14:paraId="195A9D6B" w14:textId="77777777" w:rsidR="00A9432D" w:rsidRDefault="008A45CF" w:rsidP="00A9432D">
    <w:pPr>
      <w:pStyle w:val="Footer"/>
    </w:pPr>
    <w:sdt>
      <w:sdtPr>
        <w:id w:val="2113776243"/>
        <w:docPartObj>
          <w:docPartGallery w:val="Page Numbers (Bottom of Page)"/>
          <w:docPartUnique/>
        </w:docPartObj>
      </w:sdtPr>
      <w:sdtEndPr/>
      <w:sdtContent>
        <w:sdt>
          <w:sdtPr>
            <w:id w:val="1829636627"/>
            <w:docPartObj>
              <w:docPartGallery w:val="Page Numbers (Top of Page)"/>
              <w:docPartUnique/>
            </w:docPartObj>
          </w:sdtPr>
          <w:sdtEndPr/>
          <w:sdtContent>
            <w:r w:rsidR="00A9432D">
              <w:t xml:space="preserve">Page </w:t>
            </w:r>
            <w:r w:rsidR="00A9432D">
              <w:rPr>
                <w:sz w:val="24"/>
                <w:szCs w:val="24"/>
              </w:rPr>
              <w:fldChar w:fldCharType="begin"/>
            </w:r>
            <w:r w:rsidR="00A9432D">
              <w:instrText xml:space="preserve"> PAGE </w:instrText>
            </w:r>
            <w:r w:rsidR="00A9432D">
              <w:rPr>
                <w:sz w:val="24"/>
                <w:szCs w:val="24"/>
              </w:rPr>
              <w:fldChar w:fldCharType="separate"/>
            </w:r>
            <w:r>
              <w:rPr>
                <w:noProof/>
              </w:rPr>
              <w:t>1</w:t>
            </w:r>
            <w:r w:rsidR="00A9432D">
              <w:rPr>
                <w:sz w:val="24"/>
                <w:szCs w:val="24"/>
              </w:rPr>
              <w:fldChar w:fldCharType="end"/>
            </w:r>
            <w:r w:rsidR="00A9432D">
              <w:t xml:space="preserve"> of </w:t>
            </w:r>
            <w:fldSimple w:instr=" NUMPAGES  ">
              <w:r>
                <w:rPr>
                  <w:noProof/>
                </w:rPr>
                <w:t>5</w:t>
              </w:r>
            </w:fldSimple>
          </w:sdtContent>
        </w:sdt>
      </w:sdtContent>
    </w:sdt>
  </w:p>
  <w:p w14:paraId="18A15D4F" w14:textId="77777777" w:rsidR="00A9432D" w:rsidRDefault="00A94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AFD2" w14:textId="77777777" w:rsidR="00895244" w:rsidRDefault="00895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94EC" w14:textId="77777777" w:rsidR="00BF2707" w:rsidRDefault="00BF2707" w:rsidP="00F75A79">
      <w:r>
        <w:separator/>
      </w:r>
    </w:p>
  </w:footnote>
  <w:footnote w:type="continuationSeparator" w:id="0">
    <w:p w14:paraId="4F259E81" w14:textId="77777777" w:rsidR="00BF2707" w:rsidRDefault="00BF2707"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84A48" w14:textId="77777777" w:rsidR="00895244" w:rsidRDefault="0089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10C5" w14:textId="77777777" w:rsidR="00895244" w:rsidRDefault="0089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CFAA" w14:textId="77777777" w:rsidR="00895244" w:rsidRDefault="0089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99B2489"/>
    <w:multiLevelType w:val="multilevel"/>
    <w:tmpl w:val="1C52D35C"/>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A366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7A1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nsid w:val="1BD322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0C0DF0"/>
    <w:multiLevelType w:val="hybridMultilevel"/>
    <w:tmpl w:val="DD828794"/>
    <w:lvl w:ilvl="0" w:tplc="95BE03D0">
      <w:numFmt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3F6B70"/>
    <w:multiLevelType w:val="multilevel"/>
    <w:tmpl w:val="B3204778"/>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9">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087D85"/>
    <w:multiLevelType w:val="hybridMultilevel"/>
    <w:tmpl w:val="BE8EF584"/>
    <w:lvl w:ilvl="0" w:tplc="223CA5CA">
      <w:start w:val="1"/>
      <w:numFmt w:val="lowerRoman"/>
      <w:lvlText w:val="%1."/>
      <w:lvlJc w:val="righ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E6028C5"/>
    <w:multiLevelType w:val="multilevel"/>
    <w:tmpl w:val="2C24B0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6AB4976"/>
    <w:multiLevelType w:val="multilevel"/>
    <w:tmpl w:val="61600FA8"/>
    <w:lvl w:ilvl="0">
      <w:start w:val="1"/>
      <w:numFmt w:val="decimal"/>
      <w:lvlText w:val="%1.0"/>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9AC08E8"/>
    <w:multiLevelType w:val="multilevel"/>
    <w:tmpl w:val="1C52D35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4AC64920"/>
    <w:multiLevelType w:val="multilevel"/>
    <w:tmpl w:val="E0AE1656"/>
    <w:lvl w:ilvl="0">
      <w:start w:val="1"/>
      <w:numFmt w:val="bullet"/>
      <w:lvlText w:val=""/>
      <w:lvlJc w:val="left"/>
      <w:pPr>
        <w:ind w:left="2448" w:hanging="360"/>
      </w:pPr>
      <w:rPr>
        <w:rFonts w:ascii="Wingdings" w:hAnsi="Wingdings"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17">
    <w:nsid w:val="4AF274BD"/>
    <w:multiLevelType w:val="hybridMultilevel"/>
    <w:tmpl w:val="703C1724"/>
    <w:lvl w:ilvl="0" w:tplc="95BE03D0">
      <w:numFmt w:val="bullet"/>
      <w:lvlText w:val=""/>
      <w:lvlJc w:val="left"/>
      <w:pPr>
        <w:ind w:left="1440" w:hanging="360"/>
      </w:pPr>
      <w:rPr>
        <w:rFonts w:ascii="Symbol" w:eastAsia="Times New Roman" w:hAnsi="Symbol"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2E42F4"/>
    <w:multiLevelType w:val="hybridMultilevel"/>
    <w:tmpl w:val="A636E4C0"/>
    <w:lvl w:ilvl="0" w:tplc="1C32ED02">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4CC14897"/>
    <w:multiLevelType w:val="multilevel"/>
    <w:tmpl w:val="8A4896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0215AE4"/>
    <w:multiLevelType w:val="hybridMultilevel"/>
    <w:tmpl w:val="1FB22F70"/>
    <w:lvl w:ilvl="0" w:tplc="388EE93C">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56860FB5"/>
    <w:multiLevelType w:val="multilevel"/>
    <w:tmpl w:val="70CEF9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E80E4D"/>
    <w:multiLevelType w:val="multilevel"/>
    <w:tmpl w:val="2E9689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6DB24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8CF15E0"/>
    <w:multiLevelType w:val="multilevel"/>
    <w:tmpl w:val="70CEF9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52857C0"/>
    <w:multiLevelType w:val="multilevel"/>
    <w:tmpl w:val="AC248C9C"/>
    <w:lvl w:ilvl="0">
      <w:start w:val="1"/>
      <w:numFmt w:val="decimal"/>
      <w:lvlText w:val="%1.0"/>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697D87"/>
    <w:multiLevelType w:val="multilevel"/>
    <w:tmpl w:val="309679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7FB1749"/>
    <w:multiLevelType w:val="multilevel"/>
    <w:tmpl w:val="4BD80F00"/>
    <w:lvl w:ilvl="0">
      <w:start w:val="1"/>
      <w:numFmt w:val="lowerLetter"/>
      <w:lvlText w:val="%1."/>
      <w:lvlJc w:val="left"/>
      <w:pPr>
        <w:ind w:left="2376" w:hanging="360"/>
      </w:pPr>
      <w:rPr>
        <w:rFonts w:hint="default"/>
      </w:rPr>
    </w:lvl>
    <w:lvl w:ilvl="1">
      <w:start w:val="1"/>
      <w:numFmt w:val="lowerLetter"/>
      <w:lvlText w:val="%2."/>
      <w:lvlJc w:val="left"/>
      <w:pPr>
        <w:ind w:left="3096" w:hanging="360"/>
      </w:pPr>
      <w:rPr>
        <w:rFonts w:hint="default"/>
      </w:rPr>
    </w:lvl>
    <w:lvl w:ilvl="2">
      <w:start w:val="1"/>
      <w:numFmt w:val="lowerRoman"/>
      <w:lvlText w:val="%3."/>
      <w:lvlJc w:val="right"/>
      <w:pPr>
        <w:ind w:left="3816" w:hanging="180"/>
      </w:pPr>
      <w:rPr>
        <w:rFonts w:hint="default"/>
      </w:rPr>
    </w:lvl>
    <w:lvl w:ilvl="3">
      <w:start w:val="1"/>
      <w:numFmt w:val="decimal"/>
      <w:lvlText w:val="%4."/>
      <w:lvlJc w:val="left"/>
      <w:pPr>
        <w:ind w:left="4536" w:hanging="360"/>
      </w:pPr>
      <w:rPr>
        <w:rFonts w:hint="default"/>
      </w:rPr>
    </w:lvl>
    <w:lvl w:ilvl="4">
      <w:start w:val="1"/>
      <w:numFmt w:val="lowerLetter"/>
      <w:lvlText w:val="%5."/>
      <w:lvlJc w:val="left"/>
      <w:pPr>
        <w:ind w:left="5256" w:hanging="360"/>
      </w:pPr>
      <w:rPr>
        <w:rFonts w:hint="default"/>
      </w:rPr>
    </w:lvl>
    <w:lvl w:ilvl="5">
      <w:start w:val="1"/>
      <w:numFmt w:val="lowerRoman"/>
      <w:lvlText w:val="%6."/>
      <w:lvlJc w:val="right"/>
      <w:pPr>
        <w:ind w:left="5976" w:hanging="180"/>
      </w:pPr>
      <w:rPr>
        <w:rFonts w:hint="default"/>
      </w:rPr>
    </w:lvl>
    <w:lvl w:ilvl="6">
      <w:start w:val="1"/>
      <w:numFmt w:val="decimal"/>
      <w:lvlText w:val="%7."/>
      <w:lvlJc w:val="left"/>
      <w:pPr>
        <w:ind w:left="6696" w:hanging="360"/>
      </w:pPr>
      <w:rPr>
        <w:rFonts w:hint="default"/>
      </w:rPr>
    </w:lvl>
    <w:lvl w:ilvl="7">
      <w:start w:val="1"/>
      <w:numFmt w:val="lowerLetter"/>
      <w:lvlText w:val="%8."/>
      <w:lvlJc w:val="left"/>
      <w:pPr>
        <w:ind w:left="7416" w:hanging="360"/>
      </w:pPr>
      <w:rPr>
        <w:rFonts w:hint="default"/>
      </w:rPr>
    </w:lvl>
    <w:lvl w:ilvl="8">
      <w:start w:val="1"/>
      <w:numFmt w:val="lowerRoman"/>
      <w:lvlText w:val="%9."/>
      <w:lvlJc w:val="right"/>
      <w:pPr>
        <w:ind w:left="8136" w:hanging="180"/>
      </w:pPr>
      <w:rPr>
        <w:rFonts w:hint="default"/>
      </w:rPr>
    </w:lvl>
  </w:abstractNum>
  <w:abstractNum w:abstractNumId="28">
    <w:nsid w:val="7CAB7831"/>
    <w:multiLevelType w:val="multilevel"/>
    <w:tmpl w:val="8A48965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29"/>
  </w:num>
  <w:num w:numId="2">
    <w:abstractNumId w:val="18"/>
  </w:num>
  <w:num w:numId="3">
    <w:abstractNumId w:val="20"/>
  </w:num>
  <w:num w:numId="4">
    <w:abstractNumId w:val="3"/>
  </w:num>
  <w:num w:numId="5">
    <w:abstractNumId w:val="4"/>
  </w:num>
  <w:num w:numId="6">
    <w:abstractNumId w:val="14"/>
  </w:num>
  <w:num w:numId="7">
    <w:abstractNumId w:val="25"/>
  </w:num>
  <w:num w:numId="8">
    <w:abstractNumId w:val="7"/>
  </w:num>
  <w:num w:numId="9">
    <w:abstractNumId w:val="1"/>
  </w:num>
  <w:num w:numId="10">
    <w:abstractNumId w:val="5"/>
  </w:num>
  <w:num w:numId="11">
    <w:abstractNumId w:val="20"/>
    <w:lvlOverride w:ilvl="0">
      <w:startOverride w:val="1"/>
    </w:lvlOverride>
  </w:num>
  <w:num w:numId="12">
    <w:abstractNumId w:val="20"/>
    <w:lvlOverride w:ilvl="0">
      <w:startOverride w:val="1"/>
    </w:lvlOverride>
  </w:num>
  <w:num w:numId="13">
    <w:abstractNumId w:val="20"/>
  </w:num>
  <w:num w:numId="14">
    <w:abstractNumId w:val="20"/>
    <w:lvlOverride w:ilvl="0">
      <w:startOverride w:val="1"/>
    </w:lvlOverride>
  </w:num>
  <w:num w:numId="15">
    <w:abstractNumId w:val="20"/>
    <w:lvlOverride w:ilvl="0">
      <w:startOverride w:val="1"/>
    </w:lvlOverride>
  </w:num>
  <w:num w:numId="16">
    <w:abstractNumId w:val="20"/>
    <w:lvlOverride w:ilvl="0">
      <w:startOverride w:val="1"/>
    </w:lvlOverride>
  </w:num>
  <w:num w:numId="17">
    <w:abstractNumId w:val="27"/>
  </w:num>
  <w:num w:numId="18">
    <w:abstractNumId w:val="10"/>
  </w:num>
  <w:num w:numId="19">
    <w:abstractNumId w:val="24"/>
  </w:num>
  <w:num w:numId="20">
    <w:abstractNumId w:val="21"/>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 w:numId="29">
    <w:abstractNumId w:val="28"/>
  </w:num>
  <w:num w:numId="30">
    <w:abstractNumId w:val="6"/>
  </w:num>
  <w:num w:numId="31">
    <w:abstractNumId w:val="0"/>
  </w:num>
  <w:num w:numId="32">
    <w:abstractNumId w:val="9"/>
  </w:num>
  <w:num w:numId="33">
    <w:abstractNumId w:val="12"/>
  </w:num>
  <w:num w:numId="34">
    <w:abstractNumId w:val="11"/>
  </w:num>
  <w:num w:numId="35">
    <w:abstractNumId w:val="16"/>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5"/>
  </w:num>
  <w:num w:numId="44">
    <w:abstractNumId w:val="23"/>
  </w:num>
  <w:num w:numId="45">
    <w:abstractNumId w:val="17"/>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C7"/>
    <w:rsid w:val="00025179"/>
    <w:rsid w:val="000376A7"/>
    <w:rsid w:val="00044D7E"/>
    <w:rsid w:val="00050F68"/>
    <w:rsid w:val="00056DC7"/>
    <w:rsid w:val="000B5634"/>
    <w:rsid w:val="000B5F71"/>
    <w:rsid w:val="000C0DAB"/>
    <w:rsid w:val="000E3BD1"/>
    <w:rsid w:val="001272B9"/>
    <w:rsid w:val="00177728"/>
    <w:rsid w:val="001A2330"/>
    <w:rsid w:val="001B5E4C"/>
    <w:rsid w:val="001C235D"/>
    <w:rsid w:val="002067BB"/>
    <w:rsid w:val="002217A2"/>
    <w:rsid w:val="002241D1"/>
    <w:rsid w:val="002744E3"/>
    <w:rsid w:val="00290EB6"/>
    <w:rsid w:val="0029606B"/>
    <w:rsid w:val="002A2725"/>
    <w:rsid w:val="002A6686"/>
    <w:rsid w:val="002C121C"/>
    <w:rsid w:val="002D2D4E"/>
    <w:rsid w:val="002F43FA"/>
    <w:rsid w:val="0030511D"/>
    <w:rsid w:val="003146DE"/>
    <w:rsid w:val="003221A0"/>
    <w:rsid w:val="00372CF2"/>
    <w:rsid w:val="003770D7"/>
    <w:rsid w:val="003A3686"/>
    <w:rsid w:val="003B40F9"/>
    <w:rsid w:val="003C0B36"/>
    <w:rsid w:val="003D6058"/>
    <w:rsid w:val="00430644"/>
    <w:rsid w:val="004306EE"/>
    <w:rsid w:val="0043379E"/>
    <w:rsid w:val="00451DBA"/>
    <w:rsid w:val="00452C1D"/>
    <w:rsid w:val="00472EC7"/>
    <w:rsid w:val="00491818"/>
    <w:rsid w:val="004A372A"/>
    <w:rsid w:val="004C0C1F"/>
    <w:rsid w:val="004C660B"/>
    <w:rsid w:val="004E5162"/>
    <w:rsid w:val="004F55D1"/>
    <w:rsid w:val="00523D93"/>
    <w:rsid w:val="00523F1C"/>
    <w:rsid w:val="005264DE"/>
    <w:rsid w:val="00533447"/>
    <w:rsid w:val="00545534"/>
    <w:rsid w:val="00546BA6"/>
    <w:rsid w:val="00562356"/>
    <w:rsid w:val="005650BC"/>
    <w:rsid w:val="005653AA"/>
    <w:rsid w:val="00565DF0"/>
    <w:rsid w:val="005E5590"/>
    <w:rsid w:val="005F1665"/>
    <w:rsid w:val="005F57A9"/>
    <w:rsid w:val="005F5D0F"/>
    <w:rsid w:val="006534EC"/>
    <w:rsid w:val="006747B7"/>
    <w:rsid w:val="00692044"/>
    <w:rsid w:val="006A42D1"/>
    <w:rsid w:val="006B60CA"/>
    <w:rsid w:val="006C4893"/>
    <w:rsid w:val="006D644E"/>
    <w:rsid w:val="006E2F8E"/>
    <w:rsid w:val="00702907"/>
    <w:rsid w:val="007237A9"/>
    <w:rsid w:val="00733DE9"/>
    <w:rsid w:val="00734405"/>
    <w:rsid w:val="0074576F"/>
    <w:rsid w:val="00760953"/>
    <w:rsid w:val="0077526B"/>
    <w:rsid w:val="00780B2E"/>
    <w:rsid w:val="007C48D6"/>
    <w:rsid w:val="007D782E"/>
    <w:rsid w:val="007E2C61"/>
    <w:rsid w:val="007E32D2"/>
    <w:rsid w:val="00820620"/>
    <w:rsid w:val="00845625"/>
    <w:rsid w:val="00846CAA"/>
    <w:rsid w:val="00864C4E"/>
    <w:rsid w:val="0089053B"/>
    <w:rsid w:val="00895244"/>
    <w:rsid w:val="008A2453"/>
    <w:rsid w:val="008A45CF"/>
    <w:rsid w:val="008B210F"/>
    <w:rsid w:val="008C2224"/>
    <w:rsid w:val="008C7372"/>
    <w:rsid w:val="009273F1"/>
    <w:rsid w:val="00930952"/>
    <w:rsid w:val="009329A7"/>
    <w:rsid w:val="00952B66"/>
    <w:rsid w:val="009654D5"/>
    <w:rsid w:val="00967C23"/>
    <w:rsid w:val="009C01E5"/>
    <w:rsid w:val="009E2439"/>
    <w:rsid w:val="00A17738"/>
    <w:rsid w:val="00A61A31"/>
    <w:rsid w:val="00A9432D"/>
    <w:rsid w:val="00A97E76"/>
    <w:rsid w:val="00AC4F13"/>
    <w:rsid w:val="00AD2BCA"/>
    <w:rsid w:val="00AD7E8B"/>
    <w:rsid w:val="00AF107B"/>
    <w:rsid w:val="00AF29E0"/>
    <w:rsid w:val="00B07C66"/>
    <w:rsid w:val="00B21B95"/>
    <w:rsid w:val="00B87EB7"/>
    <w:rsid w:val="00B92989"/>
    <w:rsid w:val="00BB4FA4"/>
    <w:rsid w:val="00BF2707"/>
    <w:rsid w:val="00C003B5"/>
    <w:rsid w:val="00C138A0"/>
    <w:rsid w:val="00C20162"/>
    <w:rsid w:val="00C223DA"/>
    <w:rsid w:val="00C35BBE"/>
    <w:rsid w:val="00C43628"/>
    <w:rsid w:val="00C44E71"/>
    <w:rsid w:val="00C950C9"/>
    <w:rsid w:val="00CA15B2"/>
    <w:rsid w:val="00CA5D74"/>
    <w:rsid w:val="00CB511E"/>
    <w:rsid w:val="00CC79AA"/>
    <w:rsid w:val="00CE485F"/>
    <w:rsid w:val="00CF6965"/>
    <w:rsid w:val="00CF6EC8"/>
    <w:rsid w:val="00D0675C"/>
    <w:rsid w:val="00D25D35"/>
    <w:rsid w:val="00D2679C"/>
    <w:rsid w:val="00D370CE"/>
    <w:rsid w:val="00D523EF"/>
    <w:rsid w:val="00D557DC"/>
    <w:rsid w:val="00DA16FE"/>
    <w:rsid w:val="00DB69C9"/>
    <w:rsid w:val="00DC1513"/>
    <w:rsid w:val="00DC1EF6"/>
    <w:rsid w:val="00DD31C5"/>
    <w:rsid w:val="00DD6D2E"/>
    <w:rsid w:val="00E1479B"/>
    <w:rsid w:val="00E40229"/>
    <w:rsid w:val="00E544D2"/>
    <w:rsid w:val="00E56F94"/>
    <w:rsid w:val="00E85439"/>
    <w:rsid w:val="00EB274B"/>
    <w:rsid w:val="00EB67B9"/>
    <w:rsid w:val="00F01861"/>
    <w:rsid w:val="00F4492C"/>
    <w:rsid w:val="00F615F3"/>
    <w:rsid w:val="00F7127B"/>
    <w:rsid w:val="00F75A79"/>
    <w:rsid w:val="00FA528C"/>
    <w:rsid w:val="00FD42D3"/>
    <w:rsid w:val="00FD632C"/>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3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6747B7"/>
    <w:pPr>
      <w:numPr>
        <w:numId w:val="2"/>
      </w:numPr>
      <w:tabs>
        <w:tab w:val="left" w:pos="547"/>
      </w:tabs>
      <w:ind w:left="792" w:right="360"/>
    </w:pPr>
  </w:style>
  <w:style w:type="paragraph" w:customStyle="1" w:styleId="hsr1">
    <w:name w:val="hsr 1"/>
    <w:next w:val="hsr2"/>
    <w:link w:val="hsr1Char"/>
    <w:qFormat/>
    <w:rsid w:val="00D523EF"/>
    <w:pPr>
      <w:numPr>
        <w:numId w:val="36"/>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6747B7"/>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9"/>
      </w:numPr>
      <w:ind w:left="1728" w:right="360"/>
    </w:pPr>
    <w:rPr>
      <w:bCs/>
    </w:rPr>
  </w:style>
  <w:style w:type="paragraph" w:customStyle="1" w:styleId="BulletSubSub">
    <w:name w:val="Bullet_Sub_Sub"/>
    <w:basedOn w:val="ListParagraph"/>
    <w:link w:val="BulletSubSubChar"/>
    <w:qFormat/>
    <w:rsid w:val="00702907"/>
    <w:pPr>
      <w:numPr>
        <w:numId w:val="10"/>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36"/>
      </w:numPr>
    </w:pPr>
  </w:style>
  <w:style w:type="paragraph" w:customStyle="1" w:styleId="hsr5">
    <w:name w:val="hsr 5"/>
    <w:basedOn w:val="BulletSub"/>
    <w:next w:val="hsr6"/>
    <w:link w:val="hsr5Char"/>
    <w:qFormat/>
    <w:rsid w:val="00D523EF"/>
    <w:pPr>
      <w:numPr>
        <w:ilvl w:val="4"/>
        <w:numId w:val="36"/>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36"/>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hanging="216"/>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31"/>
      </w:numPr>
    </w:pPr>
  </w:style>
  <w:style w:type="numbering" w:customStyle="1" w:styleId="Style2">
    <w:name w:val="Style2"/>
    <w:uiPriority w:val="99"/>
    <w:rsid w:val="002217A2"/>
    <w:pPr>
      <w:numPr>
        <w:numId w:val="32"/>
      </w:numPr>
    </w:pPr>
  </w:style>
  <w:style w:type="numbering" w:customStyle="1" w:styleId="Style3">
    <w:name w:val="Style3"/>
    <w:uiPriority w:val="99"/>
    <w:rsid w:val="002217A2"/>
    <w:pPr>
      <w:numPr>
        <w:numId w:val="33"/>
      </w:numPr>
    </w:pPr>
  </w:style>
  <w:style w:type="numbering" w:customStyle="1" w:styleId="Style4">
    <w:name w:val="Style4"/>
    <w:uiPriority w:val="99"/>
    <w:rsid w:val="002217A2"/>
    <w:pPr>
      <w:numPr>
        <w:numId w:val="34"/>
      </w:numPr>
    </w:pPr>
  </w:style>
  <w:style w:type="numbering" w:customStyle="1" w:styleId="HSRLists">
    <w:name w:val="HSRLists"/>
    <w:uiPriority w:val="99"/>
    <w:rsid w:val="00D523EF"/>
    <w:pPr>
      <w:numPr>
        <w:numId w:val="36"/>
      </w:numPr>
    </w:pPr>
  </w:style>
  <w:style w:type="paragraph" w:customStyle="1" w:styleId="123List">
    <w:name w:val="123 List"/>
    <w:basedOn w:val="ListParagraph"/>
    <w:link w:val="123ListChar"/>
    <w:qFormat/>
    <w:rsid w:val="00472EC7"/>
    <w:pPr>
      <w:tabs>
        <w:tab w:val="left" w:pos="547"/>
      </w:tabs>
      <w:ind w:left="1267" w:right="360" w:hanging="360"/>
    </w:pPr>
  </w:style>
  <w:style w:type="character" w:customStyle="1" w:styleId="123ListChar">
    <w:name w:val="123 List Char"/>
    <w:basedOn w:val="ListParagraphChar"/>
    <w:link w:val="123List"/>
    <w:rsid w:val="00472EC7"/>
  </w:style>
  <w:style w:type="character" w:styleId="CommentReference">
    <w:name w:val="annotation reference"/>
    <w:basedOn w:val="DefaultParagraphFont"/>
    <w:uiPriority w:val="99"/>
    <w:semiHidden/>
    <w:unhideWhenUsed/>
    <w:rsid w:val="0030511D"/>
    <w:rPr>
      <w:sz w:val="16"/>
      <w:szCs w:val="16"/>
    </w:rPr>
  </w:style>
  <w:style w:type="paragraph" w:styleId="CommentText">
    <w:name w:val="annotation text"/>
    <w:basedOn w:val="Normal"/>
    <w:link w:val="CommentTextChar"/>
    <w:uiPriority w:val="99"/>
    <w:semiHidden/>
    <w:unhideWhenUsed/>
    <w:rsid w:val="0030511D"/>
    <w:rPr>
      <w:sz w:val="20"/>
      <w:szCs w:val="20"/>
    </w:rPr>
  </w:style>
  <w:style w:type="character" w:customStyle="1" w:styleId="CommentTextChar">
    <w:name w:val="Comment Text Char"/>
    <w:basedOn w:val="DefaultParagraphFont"/>
    <w:link w:val="CommentText"/>
    <w:uiPriority w:val="99"/>
    <w:semiHidden/>
    <w:rsid w:val="0030511D"/>
    <w:rPr>
      <w:sz w:val="20"/>
      <w:szCs w:val="20"/>
    </w:rPr>
  </w:style>
  <w:style w:type="paragraph" w:styleId="CommentSubject">
    <w:name w:val="annotation subject"/>
    <w:basedOn w:val="CommentText"/>
    <w:next w:val="CommentText"/>
    <w:link w:val="CommentSubjectChar"/>
    <w:uiPriority w:val="99"/>
    <w:semiHidden/>
    <w:unhideWhenUsed/>
    <w:rsid w:val="0030511D"/>
    <w:rPr>
      <w:b/>
      <w:bCs/>
    </w:rPr>
  </w:style>
  <w:style w:type="character" w:customStyle="1" w:styleId="CommentSubjectChar">
    <w:name w:val="Comment Subject Char"/>
    <w:basedOn w:val="CommentTextChar"/>
    <w:link w:val="CommentSubject"/>
    <w:uiPriority w:val="99"/>
    <w:semiHidden/>
    <w:rsid w:val="0030511D"/>
    <w:rPr>
      <w:b/>
      <w:bCs/>
      <w:sz w:val="20"/>
      <w:szCs w:val="20"/>
    </w:rPr>
  </w:style>
  <w:style w:type="paragraph" w:styleId="Revision">
    <w:name w:val="Revision"/>
    <w:hidden/>
    <w:uiPriority w:val="99"/>
    <w:semiHidden/>
    <w:rsid w:val="007237A9"/>
    <w:pPr>
      <w:spacing w:after="0" w:line="240" w:lineRule="auto"/>
    </w:pPr>
  </w:style>
  <w:style w:type="character" w:styleId="FollowedHyperlink">
    <w:name w:val="FollowedHyperlink"/>
    <w:basedOn w:val="DefaultParagraphFont"/>
    <w:uiPriority w:val="99"/>
    <w:semiHidden/>
    <w:unhideWhenUsed/>
    <w:rsid w:val="008456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6747B7"/>
    <w:pPr>
      <w:numPr>
        <w:numId w:val="2"/>
      </w:numPr>
      <w:tabs>
        <w:tab w:val="left" w:pos="547"/>
      </w:tabs>
      <w:ind w:left="792" w:right="360"/>
    </w:pPr>
  </w:style>
  <w:style w:type="paragraph" w:customStyle="1" w:styleId="hsr1">
    <w:name w:val="hsr 1"/>
    <w:next w:val="hsr2"/>
    <w:link w:val="hsr1Char"/>
    <w:qFormat/>
    <w:rsid w:val="00D523EF"/>
    <w:pPr>
      <w:numPr>
        <w:numId w:val="36"/>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6747B7"/>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9"/>
      </w:numPr>
      <w:ind w:left="1728" w:right="360"/>
    </w:pPr>
    <w:rPr>
      <w:bCs/>
    </w:rPr>
  </w:style>
  <w:style w:type="paragraph" w:customStyle="1" w:styleId="BulletSubSub">
    <w:name w:val="Bullet_Sub_Sub"/>
    <w:basedOn w:val="ListParagraph"/>
    <w:link w:val="BulletSubSubChar"/>
    <w:qFormat/>
    <w:rsid w:val="00702907"/>
    <w:pPr>
      <w:numPr>
        <w:numId w:val="10"/>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36"/>
      </w:numPr>
    </w:pPr>
  </w:style>
  <w:style w:type="paragraph" w:customStyle="1" w:styleId="hsr5">
    <w:name w:val="hsr 5"/>
    <w:basedOn w:val="BulletSub"/>
    <w:next w:val="hsr6"/>
    <w:link w:val="hsr5Char"/>
    <w:qFormat/>
    <w:rsid w:val="00D523EF"/>
    <w:pPr>
      <w:numPr>
        <w:ilvl w:val="4"/>
        <w:numId w:val="36"/>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36"/>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hanging="216"/>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31"/>
      </w:numPr>
    </w:pPr>
  </w:style>
  <w:style w:type="numbering" w:customStyle="1" w:styleId="Style2">
    <w:name w:val="Style2"/>
    <w:uiPriority w:val="99"/>
    <w:rsid w:val="002217A2"/>
    <w:pPr>
      <w:numPr>
        <w:numId w:val="32"/>
      </w:numPr>
    </w:pPr>
  </w:style>
  <w:style w:type="numbering" w:customStyle="1" w:styleId="Style3">
    <w:name w:val="Style3"/>
    <w:uiPriority w:val="99"/>
    <w:rsid w:val="002217A2"/>
    <w:pPr>
      <w:numPr>
        <w:numId w:val="33"/>
      </w:numPr>
    </w:pPr>
  </w:style>
  <w:style w:type="numbering" w:customStyle="1" w:styleId="Style4">
    <w:name w:val="Style4"/>
    <w:uiPriority w:val="99"/>
    <w:rsid w:val="002217A2"/>
    <w:pPr>
      <w:numPr>
        <w:numId w:val="34"/>
      </w:numPr>
    </w:pPr>
  </w:style>
  <w:style w:type="numbering" w:customStyle="1" w:styleId="HSRLists">
    <w:name w:val="HSRLists"/>
    <w:uiPriority w:val="99"/>
    <w:rsid w:val="00D523EF"/>
    <w:pPr>
      <w:numPr>
        <w:numId w:val="36"/>
      </w:numPr>
    </w:pPr>
  </w:style>
  <w:style w:type="paragraph" w:customStyle="1" w:styleId="123List">
    <w:name w:val="123 List"/>
    <w:basedOn w:val="ListParagraph"/>
    <w:link w:val="123ListChar"/>
    <w:qFormat/>
    <w:rsid w:val="00472EC7"/>
    <w:pPr>
      <w:tabs>
        <w:tab w:val="left" w:pos="547"/>
      </w:tabs>
      <w:ind w:left="1267" w:right="360" w:hanging="360"/>
    </w:pPr>
  </w:style>
  <w:style w:type="character" w:customStyle="1" w:styleId="123ListChar">
    <w:name w:val="123 List Char"/>
    <w:basedOn w:val="ListParagraphChar"/>
    <w:link w:val="123List"/>
    <w:rsid w:val="00472EC7"/>
  </w:style>
  <w:style w:type="character" w:styleId="CommentReference">
    <w:name w:val="annotation reference"/>
    <w:basedOn w:val="DefaultParagraphFont"/>
    <w:uiPriority w:val="99"/>
    <w:semiHidden/>
    <w:unhideWhenUsed/>
    <w:rsid w:val="0030511D"/>
    <w:rPr>
      <w:sz w:val="16"/>
      <w:szCs w:val="16"/>
    </w:rPr>
  </w:style>
  <w:style w:type="paragraph" w:styleId="CommentText">
    <w:name w:val="annotation text"/>
    <w:basedOn w:val="Normal"/>
    <w:link w:val="CommentTextChar"/>
    <w:uiPriority w:val="99"/>
    <w:semiHidden/>
    <w:unhideWhenUsed/>
    <w:rsid w:val="0030511D"/>
    <w:rPr>
      <w:sz w:val="20"/>
      <w:szCs w:val="20"/>
    </w:rPr>
  </w:style>
  <w:style w:type="character" w:customStyle="1" w:styleId="CommentTextChar">
    <w:name w:val="Comment Text Char"/>
    <w:basedOn w:val="DefaultParagraphFont"/>
    <w:link w:val="CommentText"/>
    <w:uiPriority w:val="99"/>
    <w:semiHidden/>
    <w:rsid w:val="0030511D"/>
    <w:rPr>
      <w:sz w:val="20"/>
      <w:szCs w:val="20"/>
    </w:rPr>
  </w:style>
  <w:style w:type="paragraph" w:styleId="CommentSubject">
    <w:name w:val="annotation subject"/>
    <w:basedOn w:val="CommentText"/>
    <w:next w:val="CommentText"/>
    <w:link w:val="CommentSubjectChar"/>
    <w:uiPriority w:val="99"/>
    <w:semiHidden/>
    <w:unhideWhenUsed/>
    <w:rsid w:val="0030511D"/>
    <w:rPr>
      <w:b/>
      <w:bCs/>
    </w:rPr>
  </w:style>
  <w:style w:type="character" w:customStyle="1" w:styleId="CommentSubjectChar">
    <w:name w:val="Comment Subject Char"/>
    <w:basedOn w:val="CommentTextChar"/>
    <w:link w:val="CommentSubject"/>
    <w:uiPriority w:val="99"/>
    <w:semiHidden/>
    <w:rsid w:val="0030511D"/>
    <w:rPr>
      <w:b/>
      <w:bCs/>
      <w:sz w:val="20"/>
      <w:szCs w:val="20"/>
    </w:rPr>
  </w:style>
  <w:style w:type="paragraph" w:styleId="Revision">
    <w:name w:val="Revision"/>
    <w:hidden/>
    <w:uiPriority w:val="99"/>
    <w:semiHidden/>
    <w:rsid w:val="007237A9"/>
    <w:pPr>
      <w:spacing w:after="0" w:line="240" w:lineRule="auto"/>
    </w:pPr>
  </w:style>
  <w:style w:type="character" w:styleId="FollowedHyperlink">
    <w:name w:val="FollowedHyperlink"/>
    <w:basedOn w:val="DefaultParagraphFont"/>
    <w:uiPriority w:val="99"/>
    <w:semiHidden/>
    <w:unhideWhenUsed/>
    <w:rsid w:val="00845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a.dot.gov/Page/P018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a.dot.gov/Page/P018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8_11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3CC6-EC2E-4040-B0A9-D1A79617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5B48F6-EBE3-4748-AC6E-23F5E8986D19}">
  <ds:schemaRefs>
    <ds:schemaRef ds:uri="http://schemas.microsoft.com/sharepoint/v3/contenttype/forms"/>
  </ds:schemaRefs>
</ds:datastoreItem>
</file>

<file path=customXml/itemProps3.xml><?xml version="1.0" encoding="utf-8"?>
<ds:datastoreItem xmlns:ds="http://schemas.openxmlformats.org/officeDocument/2006/customXml" ds:itemID="{8377F1FD-3B30-4749-B4D9-21F74291F4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F6046-6488-4EC9-99EF-1E0A29A6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Template_v8_111213.dotx</Template>
  <TotalTime>0</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6</cp:revision>
  <cp:lastPrinted>2013-10-07T16:25:00Z</cp:lastPrinted>
  <dcterms:created xsi:type="dcterms:W3CDTF">2014-02-04T18:43:00Z</dcterms:created>
  <dcterms:modified xsi:type="dcterms:W3CDTF">2014-11-13T04:16:00Z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